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245816" w14:textId="77777777" w:rsidR="00BF4D2C" w:rsidRDefault="00F409B9" w:rsidP="00BF4D2C">
      <w:pPr>
        <w:pStyle w:val="CoverTitle"/>
      </w:pPr>
      <w:r>
        <w:t xml:space="preserve">Adult Education Block </w:t>
      </w:r>
      <w:r w:rsidR="00A01C86">
        <w:t>Grant</w:t>
      </w:r>
    </w:p>
    <w:p w14:paraId="2CFF5BAC" w14:textId="647CA2AC" w:rsidR="00AA5034" w:rsidRPr="007A2ECA" w:rsidRDefault="000A34E5" w:rsidP="00BF4D2C">
      <w:pPr>
        <w:pStyle w:val="CoverTitle"/>
      </w:pPr>
      <w:r w:rsidRPr="000A34E5">
        <w:rPr>
          <w:b/>
          <w:color w:val="404040" w:themeColor="text1" w:themeTint="BF"/>
          <w:sz w:val="32"/>
        </w:rPr>
        <w:t>Establishing Co</w:t>
      </w:r>
      <w:r w:rsidR="00BC1D6A">
        <w:rPr>
          <w:b/>
          <w:color w:val="404040" w:themeColor="text1" w:themeTint="BF"/>
          <w:sz w:val="32"/>
        </w:rPr>
        <w:t xml:space="preserve">re Definitions and Data Systems for </w:t>
      </w:r>
      <w:r w:rsidR="00F94A2D">
        <w:rPr>
          <w:b/>
          <w:color w:val="404040" w:themeColor="text1" w:themeTint="BF"/>
          <w:sz w:val="32"/>
        </w:rPr>
        <w:t xml:space="preserve">Post-Secondary Transition, </w:t>
      </w:r>
      <w:r w:rsidR="00BC1D6A">
        <w:rPr>
          <w:b/>
          <w:color w:val="404040" w:themeColor="text1" w:themeTint="BF"/>
          <w:sz w:val="32"/>
        </w:rPr>
        <w:t>Completion, Measurable Skills Gains, Employment and Earnings</w:t>
      </w:r>
      <w:r w:rsidR="001E265B">
        <w:br/>
      </w:r>
    </w:p>
    <w:p w14:paraId="5B6C9254" w14:textId="612FB8F7" w:rsidR="00AA5034" w:rsidRDefault="00A01C86" w:rsidP="00BC1D6A">
      <w:pPr>
        <w:pStyle w:val="DateContract"/>
        <w:ind w:left="5040"/>
      </w:pPr>
      <w:r>
        <w:t>0</w:t>
      </w:r>
      <w:r w:rsidR="002A3DCE">
        <w:t>6</w:t>
      </w:r>
      <w:r>
        <w:t>.</w:t>
      </w:r>
      <w:r w:rsidR="00BC1D6A">
        <w:t>26</w:t>
      </w:r>
      <w:r>
        <w:t>.2017</w:t>
      </w:r>
    </w:p>
    <w:p w14:paraId="6F367DE0" w14:textId="3FB621EF" w:rsidR="00AA5034" w:rsidRDefault="00A01C86" w:rsidP="00BC1D6A">
      <w:pPr>
        <w:pStyle w:val="DateContract"/>
        <w:ind w:left="5040"/>
      </w:pPr>
      <w:r>
        <w:t>White Paper</w:t>
      </w:r>
      <w:r w:rsidR="000B2333">
        <w:t xml:space="preserve"> for </w:t>
      </w:r>
      <w:r w:rsidR="000A34E5">
        <w:t>Data and Accountability</w:t>
      </w:r>
      <w:r w:rsidR="000B2333">
        <w:t xml:space="preserve"> Committee Meeting </w:t>
      </w:r>
      <w:r w:rsidR="00BC1D6A">
        <w:t>3</w:t>
      </w:r>
    </w:p>
    <w:p w14:paraId="1887E0A8" w14:textId="77777777" w:rsidR="00B84A55" w:rsidRDefault="00B84A55" w:rsidP="00AA5034">
      <w:pPr>
        <w:pStyle w:val="CoverSubtitle"/>
        <w:sectPr w:rsidR="00B84A55">
          <w:footerReference w:type="even" r:id="rId8"/>
          <w:footerReference w:type="default" r:id="rId9"/>
          <w:headerReference w:type="first" r:id="rId10"/>
          <w:pgSz w:w="12240" w:h="15840"/>
          <w:pgMar w:top="1152" w:right="1440" w:bottom="720" w:left="1440" w:header="720" w:footer="720" w:gutter="0"/>
          <w:cols w:space="720" w:equalWidth="0">
            <w:col w:w="9360" w:space="450"/>
          </w:cols>
          <w:noEndnote/>
          <w:titlePg/>
        </w:sectPr>
      </w:pPr>
    </w:p>
    <w:p w14:paraId="2FC23E43" w14:textId="77777777" w:rsidR="00AB3011" w:rsidRPr="00C14903" w:rsidRDefault="00AB3011" w:rsidP="00AB3011">
      <w:pPr>
        <w:pStyle w:val="CopyrightText"/>
        <w:framePr w:w="6267" w:wrap="around" w:x="4762"/>
        <w:rPr>
          <w:rFonts w:ascii="Times" w:hAnsi="Times"/>
          <w:color w:val="auto"/>
          <w:sz w:val="20"/>
          <w:szCs w:val="20"/>
        </w:rPr>
      </w:pPr>
      <w:r>
        <w:lastRenderedPageBreak/>
        <w:br w:type="page"/>
      </w:r>
      <w:r w:rsidRPr="00C14903">
        <w:rPr>
          <w:shd w:val="clear" w:color="auto" w:fill="FFFFFF"/>
        </w:rPr>
        <w:t>WestEd —</w:t>
      </w:r>
      <w:r w:rsidRPr="00C14903">
        <w:t> </w:t>
      </w:r>
      <w:r w:rsidRPr="00C14903">
        <w:rPr>
          <w:shd w:val="clear" w:color="auto" w:fill="FFFFFF"/>
        </w:rPr>
        <w:t>a nonpartisan, nonprofit research, development, and service agency — works with education and other communities throughout the United States and abroad to promote excellence, achieve equity, and improve learning for children, youth, and adults. WestEd has more</w:t>
      </w:r>
      <w:r w:rsidRPr="00C14903">
        <w:t> </w:t>
      </w:r>
      <w:r w:rsidRPr="00C14903">
        <w:rPr>
          <w:shd w:val="clear" w:color="auto" w:fill="FFFFFF"/>
        </w:rPr>
        <w:t>than a dozen</w:t>
      </w:r>
      <w:r w:rsidRPr="00C14903">
        <w:t> </w:t>
      </w:r>
      <w:r w:rsidRPr="00C14903">
        <w:rPr>
          <w:shd w:val="clear" w:color="auto" w:fill="FFFFFF"/>
        </w:rPr>
        <w:t>offices nationwide, from Massachusetts, Vermont and Georgia, to Illinois, Arizona and California, with headquarters in San Francisco. For more information about WestEd, visit WestEd.org; call</w:t>
      </w:r>
      <w:r w:rsidRPr="00C14903">
        <w:t> </w:t>
      </w:r>
      <w:hyperlink r:id="rId11" w:tgtFrame="_blank" w:history="1">
        <w:r w:rsidRPr="00C14903">
          <w:rPr>
            <w:color w:val="005A95"/>
          </w:rPr>
          <w:t>415.565.3000</w:t>
        </w:r>
      </w:hyperlink>
      <w:r w:rsidRPr="00C14903">
        <w:t> </w:t>
      </w:r>
      <w:r w:rsidRPr="00C14903">
        <w:rPr>
          <w:shd w:val="clear" w:color="auto" w:fill="FFFFFF"/>
        </w:rPr>
        <w:t>or, toll-free, (877) 4-WestEd; or write: WestEd / 730 Harrison Street / San Francisco, CA 94107-1242.</w:t>
      </w:r>
    </w:p>
    <w:p w14:paraId="49DB50C7" w14:textId="4524A35B" w:rsidR="00AB3011" w:rsidRPr="00936792" w:rsidRDefault="00AB3011" w:rsidP="00AB3011">
      <w:pPr>
        <w:pStyle w:val="CopyrightText"/>
        <w:framePr w:w="6267" w:wrap="around" w:x="4762"/>
        <w:sectPr w:rsidR="00AB3011" w:rsidRPr="00936792">
          <w:headerReference w:type="first" r:id="rId12"/>
          <w:pgSz w:w="12240" w:h="15840"/>
          <w:pgMar w:top="1152" w:right="1440" w:bottom="720" w:left="1440" w:header="720" w:footer="720" w:gutter="0"/>
          <w:cols w:space="720" w:equalWidth="0">
            <w:col w:w="9360" w:space="450"/>
          </w:cols>
          <w:noEndnote/>
          <w:titlePg/>
        </w:sectPr>
      </w:pPr>
      <w:r w:rsidRPr="00936792">
        <w:br/>
        <w:t>© 201</w:t>
      </w:r>
      <w:r w:rsidR="00A01C86">
        <w:t>7</w:t>
      </w:r>
      <w:r w:rsidRPr="00936792">
        <w:t xml:space="preserve"> WestEd. All rights reserved.</w:t>
      </w:r>
    </w:p>
    <w:p w14:paraId="7DB6C439" w14:textId="77777777" w:rsidR="00573A44" w:rsidRDefault="00573A44" w:rsidP="00C43EBE">
      <w:pPr>
        <w:pStyle w:val="TableofContentsHeader"/>
        <w:ind w:left="1440"/>
      </w:pPr>
      <w:r>
        <w:lastRenderedPageBreak/>
        <w:t>Table of Contents</w:t>
      </w:r>
    </w:p>
    <w:p w14:paraId="6792A80E" w14:textId="48DE528C" w:rsidR="00573A44" w:rsidRDefault="00AF1C99" w:rsidP="00C43EBE">
      <w:pPr>
        <w:pStyle w:val="TableofContentsH1"/>
        <w:ind w:left="1440"/>
      </w:pPr>
      <w:r w:rsidRPr="00C355C4">
        <w:t>Overview</w:t>
      </w:r>
      <w:r w:rsidR="00573A44" w:rsidRPr="00C355C4">
        <w:tab/>
        <w:t>1</w:t>
      </w:r>
    </w:p>
    <w:p w14:paraId="11A92CB6" w14:textId="6AC23804" w:rsidR="00E207B0" w:rsidRDefault="00E207B0" w:rsidP="00E207B0">
      <w:pPr>
        <w:pStyle w:val="TableofContentsH1"/>
        <w:ind w:left="1440"/>
      </w:pPr>
      <w:r>
        <w:t xml:space="preserve">Amending MIS and </w:t>
      </w:r>
      <w:proofErr w:type="spellStart"/>
      <w:r>
        <w:t>CCCApply</w:t>
      </w:r>
      <w:proofErr w:type="spellEnd"/>
      <w:r>
        <w:t xml:space="preserve"> for AEBG</w:t>
      </w:r>
      <w:r>
        <w:tab/>
        <w:t>1</w:t>
      </w:r>
    </w:p>
    <w:p w14:paraId="2224ED34" w14:textId="0FBF0DC7" w:rsidR="00E207B0" w:rsidRDefault="00E207B0" w:rsidP="00E207B0">
      <w:pPr>
        <w:pStyle w:val="TableofContentsH2"/>
        <w:ind w:left="1440"/>
      </w:pPr>
      <w:r>
        <w:t>Feasible Timelines and Considerations</w:t>
      </w:r>
      <w:r>
        <w:tab/>
        <w:t>1</w:t>
      </w:r>
    </w:p>
    <w:p w14:paraId="7DACA85F" w14:textId="63F7FEED" w:rsidR="00E207B0" w:rsidRDefault="00E207B0" w:rsidP="00E207B0">
      <w:pPr>
        <w:pStyle w:val="TableofContentsH2"/>
        <w:ind w:left="1440"/>
      </w:pPr>
      <w:r>
        <w:t>Potential Options</w:t>
      </w:r>
      <w:r>
        <w:tab/>
      </w:r>
      <w:r>
        <w:t>2</w:t>
      </w:r>
    </w:p>
    <w:p w14:paraId="19F70DE8" w14:textId="2B11CBE5" w:rsidR="00573A44" w:rsidRDefault="0049745A" w:rsidP="00C43EBE">
      <w:pPr>
        <w:pStyle w:val="TableofContentsH1"/>
        <w:ind w:left="1440"/>
      </w:pPr>
      <w:r>
        <w:t>Defining Postsecondary</w:t>
      </w:r>
      <w:r w:rsidR="00573A44">
        <w:tab/>
      </w:r>
      <w:r w:rsidR="00C849AD">
        <w:t>3</w:t>
      </w:r>
    </w:p>
    <w:p w14:paraId="52285B41" w14:textId="6155635A" w:rsidR="000A0E5C" w:rsidRDefault="0049745A" w:rsidP="000A0E5C">
      <w:pPr>
        <w:pStyle w:val="TableofContentsH2"/>
        <w:ind w:left="1440"/>
      </w:pPr>
      <w:r>
        <w:t>Potential Recommendations</w:t>
      </w:r>
      <w:r w:rsidR="000A0E5C">
        <w:tab/>
      </w:r>
      <w:r w:rsidR="00C849AD">
        <w:t>3</w:t>
      </w:r>
    </w:p>
    <w:p w14:paraId="7141B9B5" w14:textId="134BAE66" w:rsidR="000A0E5C" w:rsidRDefault="0049745A" w:rsidP="000A0E5C">
      <w:pPr>
        <w:pStyle w:val="TableofContentsH2"/>
        <w:ind w:left="1440"/>
      </w:pPr>
      <w:r>
        <w:t>Postsecondary Designations for K12 Adult Schools</w:t>
      </w:r>
      <w:r w:rsidR="000A0E5C">
        <w:tab/>
      </w:r>
      <w:r w:rsidR="00C849AD">
        <w:t>3</w:t>
      </w:r>
    </w:p>
    <w:p w14:paraId="55FDB787" w14:textId="368935DB" w:rsidR="00E14866" w:rsidRDefault="0049745A" w:rsidP="000A0E5C">
      <w:pPr>
        <w:pStyle w:val="TableofContentsH2"/>
        <w:ind w:left="1440"/>
      </w:pPr>
      <w:r>
        <w:t>Postsecondary Designations in MIS</w:t>
      </w:r>
      <w:r w:rsidR="00E14866">
        <w:tab/>
      </w:r>
      <w:r w:rsidR="00C849AD">
        <w:t>4</w:t>
      </w:r>
    </w:p>
    <w:p w14:paraId="45B45104" w14:textId="0C3B0B93" w:rsidR="0049745A" w:rsidRDefault="0049745A" w:rsidP="000A0E5C">
      <w:pPr>
        <w:pStyle w:val="TableofContentsH2"/>
        <w:ind w:left="1440"/>
      </w:pPr>
      <w:r>
        <w:t>Tracking Students</w:t>
      </w:r>
      <w:r>
        <w:tab/>
      </w:r>
      <w:r w:rsidR="00C849AD">
        <w:t>4</w:t>
      </w:r>
    </w:p>
    <w:p w14:paraId="319D103A" w14:textId="332D7DF4" w:rsidR="0012608F" w:rsidRDefault="0049745A" w:rsidP="00C43EBE">
      <w:pPr>
        <w:pStyle w:val="TableofContentsH1"/>
        <w:ind w:left="1440"/>
      </w:pPr>
      <w:r>
        <w:t>Completion</w:t>
      </w:r>
      <w:r w:rsidR="00573A44">
        <w:tab/>
      </w:r>
      <w:r w:rsidR="00C849AD">
        <w:t>5</w:t>
      </w:r>
    </w:p>
    <w:p w14:paraId="0CFC501D" w14:textId="65F75CB8" w:rsidR="000A0E5C" w:rsidRDefault="0049745A" w:rsidP="000A0E5C">
      <w:pPr>
        <w:pStyle w:val="TableofContentsH2"/>
        <w:ind w:left="1440"/>
      </w:pPr>
      <w:r>
        <w:t>Topics for Discussion</w:t>
      </w:r>
      <w:r w:rsidR="000A0E5C">
        <w:tab/>
      </w:r>
      <w:r w:rsidR="00C849AD">
        <w:t>5</w:t>
      </w:r>
    </w:p>
    <w:p w14:paraId="469A314A" w14:textId="265DBD45" w:rsidR="000A0E5C" w:rsidRDefault="0049745A" w:rsidP="000A0E5C">
      <w:pPr>
        <w:pStyle w:val="TableofContentsH2"/>
        <w:ind w:left="1440"/>
      </w:pPr>
      <w:r>
        <w:t>CTE Committee Recommendations</w:t>
      </w:r>
      <w:r w:rsidR="000A0E5C">
        <w:tab/>
      </w:r>
      <w:r w:rsidR="00C849AD">
        <w:t>5</w:t>
      </w:r>
    </w:p>
    <w:p w14:paraId="20D3C152" w14:textId="72CF7CF4" w:rsidR="00B343A2" w:rsidRDefault="0049745A" w:rsidP="00B343A2">
      <w:pPr>
        <w:pStyle w:val="TableofContentsH2"/>
        <w:ind w:left="1440"/>
      </w:pPr>
      <w:r>
        <w:t>Federal and State Guidance Regarding Completion</w:t>
      </w:r>
      <w:r w:rsidR="00B343A2">
        <w:tab/>
      </w:r>
      <w:r w:rsidR="00C849AD">
        <w:t>6</w:t>
      </w:r>
      <w:r w:rsidR="00B343A2" w:rsidRPr="00B343A2">
        <w:t xml:space="preserve"> </w:t>
      </w:r>
    </w:p>
    <w:p w14:paraId="3FBA5AA1" w14:textId="2759D1E1" w:rsidR="00B343A2" w:rsidRDefault="0049745A" w:rsidP="00B343A2">
      <w:pPr>
        <w:pStyle w:val="TableofContentsH2"/>
        <w:ind w:left="1440"/>
      </w:pPr>
      <w:r>
        <w:t>Capturing Third Party Credentials</w:t>
      </w:r>
      <w:r w:rsidR="00A4750B">
        <w:tab/>
      </w:r>
      <w:r w:rsidR="00C849AD">
        <w:t>7</w:t>
      </w:r>
    </w:p>
    <w:p w14:paraId="051F18D3" w14:textId="2FE342CA" w:rsidR="0049745A" w:rsidRDefault="0049745A" w:rsidP="00B343A2">
      <w:pPr>
        <w:pStyle w:val="TableofContentsH2"/>
        <w:ind w:left="1440"/>
      </w:pPr>
      <w:r>
        <w:t>Basic Skills Committee Recommendations</w:t>
      </w:r>
      <w:r>
        <w:tab/>
      </w:r>
      <w:r w:rsidR="00C849AD">
        <w:t>8</w:t>
      </w:r>
    </w:p>
    <w:p w14:paraId="3BF3B017" w14:textId="5AEA1423" w:rsidR="00384FB5" w:rsidRDefault="0049745A" w:rsidP="00C43EBE">
      <w:pPr>
        <w:pStyle w:val="TableofContentsH1"/>
        <w:ind w:left="1440"/>
      </w:pPr>
      <w:r>
        <w:t>Measurable Skills Gains</w:t>
      </w:r>
      <w:r w:rsidR="00384FB5">
        <w:tab/>
      </w:r>
      <w:r w:rsidR="00C849AD">
        <w:t>9</w:t>
      </w:r>
    </w:p>
    <w:p w14:paraId="5EBAD316" w14:textId="5474B3CD" w:rsidR="0049745A" w:rsidRDefault="0049745A" w:rsidP="0049745A">
      <w:pPr>
        <w:pStyle w:val="TableofContentsH2"/>
        <w:ind w:left="1440"/>
      </w:pPr>
      <w:r>
        <w:t>Topics for Discussion</w:t>
      </w:r>
      <w:r>
        <w:tab/>
      </w:r>
      <w:r w:rsidR="00C849AD">
        <w:t>9</w:t>
      </w:r>
    </w:p>
    <w:p w14:paraId="4040EC27" w14:textId="36D6BAEA" w:rsidR="0049745A" w:rsidRDefault="0049745A" w:rsidP="0049745A">
      <w:pPr>
        <w:pStyle w:val="TableofContentsH2"/>
        <w:ind w:left="1440"/>
      </w:pPr>
      <w:r>
        <w:t>WIOA Definition of Measurable Skills Gain</w:t>
      </w:r>
      <w:r>
        <w:tab/>
      </w:r>
      <w:r w:rsidR="00C849AD">
        <w:t>9</w:t>
      </w:r>
    </w:p>
    <w:p w14:paraId="03705171" w14:textId="2C964245" w:rsidR="0049745A" w:rsidRDefault="0049745A" w:rsidP="0049745A">
      <w:pPr>
        <w:pStyle w:val="TableofContentsH2"/>
        <w:ind w:left="1440"/>
      </w:pPr>
      <w:r>
        <w:t>CLASP Recommendation</w:t>
      </w:r>
      <w:r>
        <w:tab/>
      </w:r>
      <w:r w:rsidR="00C849AD">
        <w:t>11</w:t>
      </w:r>
    </w:p>
    <w:p w14:paraId="26EA6F3C" w14:textId="45253915" w:rsidR="0049745A" w:rsidRDefault="0049745A" w:rsidP="0049745A">
      <w:pPr>
        <w:pStyle w:val="TableofContentsH2"/>
        <w:ind w:left="1440"/>
        <w:rPr>
          <w:szCs w:val="22"/>
        </w:rPr>
      </w:pPr>
      <w:r w:rsidRPr="0049745A">
        <w:rPr>
          <w:szCs w:val="22"/>
        </w:rPr>
        <w:t>Assessment and Course Completion for Basic Skills</w:t>
      </w:r>
      <w:r w:rsidRPr="0049745A">
        <w:rPr>
          <w:szCs w:val="22"/>
        </w:rPr>
        <w:tab/>
      </w:r>
      <w:r w:rsidR="00273248">
        <w:rPr>
          <w:szCs w:val="22"/>
        </w:rPr>
        <w:t>1</w:t>
      </w:r>
      <w:r w:rsidR="00C849AD">
        <w:rPr>
          <w:szCs w:val="22"/>
        </w:rPr>
        <w:t>1</w:t>
      </w:r>
    </w:p>
    <w:p w14:paraId="0077A256" w14:textId="3F249BA3" w:rsidR="0049745A" w:rsidRDefault="0049745A" w:rsidP="0049745A">
      <w:pPr>
        <w:pStyle w:val="TableofContentsH2"/>
        <w:ind w:left="1440"/>
        <w:rPr>
          <w:szCs w:val="22"/>
        </w:rPr>
      </w:pPr>
      <w:r>
        <w:rPr>
          <w:szCs w:val="22"/>
        </w:rPr>
        <w:t>Measurable Skills Gains Beyond Literacy and Numeracy</w:t>
      </w:r>
      <w:r>
        <w:rPr>
          <w:szCs w:val="22"/>
        </w:rPr>
        <w:tab/>
      </w:r>
      <w:r w:rsidR="00D34523">
        <w:rPr>
          <w:szCs w:val="22"/>
        </w:rPr>
        <w:t>1</w:t>
      </w:r>
      <w:r w:rsidR="00C849AD">
        <w:rPr>
          <w:szCs w:val="22"/>
        </w:rPr>
        <w:t>2</w:t>
      </w:r>
    </w:p>
    <w:p w14:paraId="1C0E8411" w14:textId="35D0093D" w:rsidR="00B343A2" w:rsidRDefault="00D34523" w:rsidP="00B343A2">
      <w:pPr>
        <w:pStyle w:val="TableofContentsH1"/>
        <w:ind w:left="1440"/>
      </w:pPr>
      <w:r>
        <w:t>Employment</w:t>
      </w:r>
      <w:r w:rsidR="00B343A2">
        <w:tab/>
        <w:t>1</w:t>
      </w:r>
      <w:r w:rsidR="00C849AD">
        <w:t>5</w:t>
      </w:r>
    </w:p>
    <w:p w14:paraId="0EB72ABD" w14:textId="573EB419" w:rsidR="00384FB5" w:rsidRDefault="00D34523" w:rsidP="00C43EBE">
      <w:pPr>
        <w:pStyle w:val="TableofContentsH2"/>
        <w:ind w:left="1440"/>
      </w:pPr>
      <w:r>
        <w:t>Potential Recommendations</w:t>
      </w:r>
      <w:r w:rsidR="00384FB5">
        <w:tab/>
      </w:r>
      <w:r w:rsidR="009D0BA8">
        <w:t>1</w:t>
      </w:r>
      <w:r w:rsidR="00C849AD">
        <w:t>5</w:t>
      </w:r>
    </w:p>
    <w:p w14:paraId="71845403" w14:textId="15668190" w:rsidR="0012608F" w:rsidRDefault="00D34523" w:rsidP="00D34523">
      <w:pPr>
        <w:pStyle w:val="TableofContentsH2"/>
        <w:ind w:left="1440"/>
        <w:sectPr w:rsidR="0012608F">
          <w:headerReference w:type="default" r:id="rId13"/>
          <w:headerReference w:type="first" r:id="rId14"/>
          <w:footerReference w:type="first" r:id="rId15"/>
          <w:pgSz w:w="12240" w:h="15840"/>
          <w:pgMar w:top="1152" w:right="1440" w:bottom="1080" w:left="1440" w:header="720" w:footer="720" w:gutter="0"/>
          <w:pgNumType w:start="1"/>
          <w:cols w:space="720" w:equalWidth="0">
            <w:col w:w="9360" w:space="450"/>
          </w:cols>
          <w:noEndnote/>
          <w:titlePg/>
        </w:sectPr>
      </w:pPr>
      <w:bookmarkStart w:id="0" w:name="_GoBack"/>
      <w:bookmarkEnd w:id="0"/>
      <w:r>
        <w:t>Using Survey Data to Track Employment Outcomes</w:t>
      </w:r>
      <w:r w:rsidR="00384FB5">
        <w:tab/>
      </w:r>
      <w:r w:rsidR="00541717">
        <w:t>1</w:t>
      </w:r>
      <w:r w:rsidR="00C849AD">
        <w:t>5</w:t>
      </w:r>
      <w:r w:rsidR="00541717">
        <w:tab/>
      </w:r>
    </w:p>
    <w:p w14:paraId="4E8DC59A" w14:textId="6758B740" w:rsidR="00D628AE" w:rsidRPr="000C3323" w:rsidRDefault="00A01C86" w:rsidP="00D2548C">
      <w:pPr>
        <w:pStyle w:val="Heading1"/>
      </w:pPr>
      <w:r>
        <w:lastRenderedPageBreak/>
        <w:t>Overview</w:t>
      </w:r>
    </w:p>
    <w:p w14:paraId="54AD0112" w14:textId="5D3E4C7F" w:rsidR="00B714B1" w:rsidRDefault="00B714B1" w:rsidP="00B714B1">
      <w:pPr>
        <w:pStyle w:val="body"/>
      </w:pPr>
      <w:r w:rsidRPr="00A01C86">
        <w:t xml:space="preserve">This paper was prepared for the </w:t>
      </w:r>
      <w:r w:rsidR="00BF4D2C">
        <w:t xml:space="preserve">third meeting of the </w:t>
      </w:r>
      <w:r w:rsidRPr="00A01C86">
        <w:t>Adult Education Block Grant</w:t>
      </w:r>
      <w:r>
        <w:t xml:space="preserve"> (AEBG)</w:t>
      </w:r>
      <w:r w:rsidRPr="00A01C86">
        <w:t xml:space="preserve"> </w:t>
      </w:r>
      <w:r>
        <w:t>Data and Ac</w:t>
      </w:r>
      <w:r w:rsidR="00FA5343">
        <w:t>countability Committee</w:t>
      </w:r>
      <w:r w:rsidR="004E58D6">
        <w:t xml:space="preserve"> (DAC)</w:t>
      </w:r>
      <w:r w:rsidRPr="00A01C86">
        <w:t xml:space="preserve">. </w:t>
      </w:r>
      <w:r w:rsidR="00FA5343">
        <w:t>The purpose of this paper is to expand on previous DAC meetings to create clearer definitions of key concepts and indicators for AEBG data and accountability</w:t>
      </w:r>
      <w:r>
        <w:t xml:space="preserve">. </w:t>
      </w:r>
      <w:r w:rsidRPr="00A01C86">
        <w:t>This paper includes the following:</w:t>
      </w:r>
    </w:p>
    <w:p w14:paraId="0DCE7F4B" w14:textId="1A5F0819" w:rsidR="00E207B0" w:rsidRDefault="00E207B0" w:rsidP="00FA6089">
      <w:pPr>
        <w:pStyle w:val="body"/>
        <w:numPr>
          <w:ilvl w:val="0"/>
          <w:numId w:val="7"/>
        </w:numPr>
        <w:spacing w:line="260" w:lineRule="atLeast"/>
        <w:ind w:left="1440"/>
      </w:pPr>
      <w:r>
        <w:t xml:space="preserve">Information and possible options regarding using MIS and </w:t>
      </w:r>
      <w:proofErr w:type="spellStart"/>
      <w:r>
        <w:t>CCCApply</w:t>
      </w:r>
      <w:proofErr w:type="spellEnd"/>
      <w:r>
        <w:t xml:space="preserve"> for community college AEBG reporting.</w:t>
      </w:r>
    </w:p>
    <w:p w14:paraId="0C0F05A1" w14:textId="5543A4EB" w:rsidR="00B714B1" w:rsidRPr="00063294" w:rsidRDefault="00063294" w:rsidP="00FA6089">
      <w:pPr>
        <w:pStyle w:val="body"/>
        <w:numPr>
          <w:ilvl w:val="0"/>
          <w:numId w:val="7"/>
        </w:numPr>
        <w:spacing w:line="260" w:lineRule="atLeast"/>
        <w:ind w:left="1440"/>
      </w:pPr>
      <w:r>
        <w:t>Potential recommenda</w:t>
      </w:r>
      <w:r w:rsidR="00E207B0">
        <w:t>tions on the definition of post-</w:t>
      </w:r>
      <w:r>
        <w:t xml:space="preserve">secondary </w:t>
      </w:r>
      <w:r w:rsidR="00E207B0">
        <w:t xml:space="preserve">to inform definitions for </w:t>
      </w:r>
      <w:r>
        <w:t>completion and transition</w:t>
      </w:r>
      <w:r w:rsidR="00E207B0">
        <w:t>.</w:t>
      </w:r>
      <w:r w:rsidR="00B714B1" w:rsidRPr="00063294">
        <w:t xml:space="preserve"> </w:t>
      </w:r>
    </w:p>
    <w:p w14:paraId="3757AF28" w14:textId="4CB7B9C4" w:rsidR="00B714B1" w:rsidRPr="00063294" w:rsidRDefault="00063294" w:rsidP="00FA6089">
      <w:pPr>
        <w:pStyle w:val="bullet-first"/>
        <w:numPr>
          <w:ilvl w:val="0"/>
          <w:numId w:val="7"/>
        </w:numPr>
        <w:spacing w:before="0"/>
        <w:ind w:left="1440"/>
      </w:pPr>
      <w:r>
        <w:t>Potential recommendations from the committees and a review of relevant state and federal guidance regarding completion of CTE or basic skills programs</w:t>
      </w:r>
      <w:r w:rsidR="00BF4D2C" w:rsidRPr="00063294">
        <w:t>.</w:t>
      </w:r>
    </w:p>
    <w:p w14:paraId="39E757D1" w14:textId="626EFEE1" w:rsidR="00B714B1" w:rsidRDefault="00063294" w:rsidP="00FA6089">
      <w:pPr>
        <w:pStyle w:val="body"/>
        <w:numPr>
          <w:ilvl w:val="0"/>
          <w:numId w:val="7"/>
        </w:numPr>
        <w:spacing w:line="260" w:lineRule="atLeast"/>
        <w:ind w:left="1440"/>
      </w:pPr>
      <w:r>
        <w:t xml:space="preserve">Potential recommendations and a review of </w:t>
      </w:r>
      <w:r w:rsidR="009353E3">
        <w:t>Workforce Innovation and Opportunity Act (</w:t>
      </w:r>
      <w:r>
        <w:t>WIOA</w:t>
      </w:r>
      <w:r w:rsidR="009353E3">
        <w:t>)</w:t>
      </w:r>
      <w:r>
        <w:t xml:space="preserve"> guidance regarding measurable skills gains in AEBG programs including </w:t>
      </w:r>
      <w:r w:rsidR="00E207B0">
        <w:t xml:space="preserve">a </w:t>
      </w:r>
      <w:r>
        <w:t>discussion of issues concerning:</w:t>
      </w:r>
    </w:p>
    <w:p w14:paraId="2E38EF37" w14:textId="3D0B2684" w:rsidR="00063294" w:rsidRDefault="00063294" w:rsidP="00FA6089">
      <w:pPr>
        <w:pStyle w:val="body"/>
        <w:numPr>
          <w:ilvl w:val="1"/>
          <w:numId w:val="7"/>
        </w:numPr>
        <w:spacing w:line="260" w:lineRule="atLeast"/>
        <w:ind w:left="1980"/>
      </w:pPr>
      <w:r>
        <w:t xml:space="preserve">Leveraging course completion as </w:t>
      </w:r>
      <w:proofErr w:type="gramStart"/>
      <w:r>
        <w:t>a measurable skills</w:t>
      </w:r>
      <w:proofErr w:type="gramEnd"/>
      <w:r>
        <w:t xml:space="preserve"> gain for basic skills programs</w:t>
      </w:r>
    </w:p>
    <w:p w14:paraId="0B95A22E" w14:textId="089D799F" w:rsidR="00063294" w:rsidRDefault="00063294" w:rsidP="00FA6089">
      <w:pPr>
        <w:pStyle w:val="body"/>
        <w:numPr>
          <w:ilvl w:val="1"/>
          <w:numId w:val="7"/>
        </w:numPr>
        <w:spacing w:line="260" w:lineRule="atLeast"/>
        <w:ind w:left="1980"/>
      </w:pPr>
      <w:r>
        <w:t>Identification of issues beyond numeracy and literacy for measurable skills gains including discussions on the relevance for short</w:t>
      </w:r>
      <w:r w:rsidR="00E207B0">
        <w:t>-</w:t>
      </w:r>
      <w:r>
        <w:t xml:space="preserve">term </w:t>
      </w:r>
      <w:r w:rsidR="00E207B0">
        <w:t>career and technical education (</w:t>
      </w:r>
      <w:r>
        <w:t>CTE</w:t>
      </w:r>
      <w:r w:rsidR="00E207B0">
        <w:t>)</w:t>
      </w:r>
      <w:r>
        <w:t>, E</w:t>
      </w:r>
      <w:r w:rsidR="00E207B0">
        <w:t>nglish language civics (EL Civics)</w:t>
      </w:r>
      <w:r>
        <w:t>, workforce preparation, and integrated education and training (IET)</w:t>
      </w:r>
    </w:p>
    <w:p w14:paraId="4D270B00" w14:textId="7A9D458F" w:rsidR="00063294" w:rsidRPr="00063294" w:rsidRDefault="00063294" w:rsidP="00FA6089">
      <w:pPr>
        <w:pStyle w:val="body"/>
        <w:numPr>
          <w:ilvl w:val="0"/>
          <w:numId w:val="7"/>
        </w:numPr>
        <w:spacing w:line="260" w:lineRule="atLeast"/>
        <w:ind w:left="1440"/>
      </w:pPr>
      <w:r>
        <w:t xml:space="preserve">Potential recommendations </w:t>
      </w:r>
      <w:r w:rsidR="00E207B0">
        <w:t>on</w:t>
      </w:r>
      <w:r>
        <w:t xml:space="preserve"> captur</w:t>
      </w:r>
      <w:r w:rsidR="00E207B0">
        <w:t>ing</w:t>
      </w:r>
      <w:r>
        <w:t xml:space="preserve"> employment </w:t>
      </w:r>
      <w:r w:rsidR="00E207B0">
        <w:t xml:space="preserve">and earnings </w:t>
      </w:r>
      <w:r>
        <w:t xml:space="preserve">data on AEBG participants through </w:t>
      </w:r>
      <w:r w:rsidR="00273248">
        <w:t>participant surveys</w:t>
      </w:r>
    </w:p>
    <w:p w14:paraId="0E7BAFCE" w14:textId="429B66B8" w:rsidR="00097CC0" w:rsidRDefault="00097CC0" w:rsidP="00097CC0">
      <w:pPr>
        <w:pStyle w:val="Heading1"/>
        <w:spacing w:before="400"/>
      </w:pPr>
      <w:r>
        <w:t xml:space="preserve">Amending MIS and </w:t>
      </w:r>
      <w:proofErr w:type="spellStart"/>
      <w:r>
        <w:t>CCCApply</w:t>
      </w:r>
      <w:proofErr w:type="spellEnd"/>
      <w:r>
        <w:t xml:space="preserve"> for AEBG</w:t>
      </w:r>
    </w:p>
    <w:p w14:paraId="3A141F65" w14:textId="762EEBEE" w:rsidR="00097CC0" w:rsidRPr="00862E2B" w:rsidRDefault="00097CC0" w:rsidP="00097CC0">
      <w:pPr>
        <w:pStyle w:val="body"/>
        <w:spacing w:before="240"/>
        <w:rPr>
          <w:rFonts w:ascii="Century Gothic" w:hAnsi="Century Gothic"/>
          <w:b/>
          <w:color w:val="00467F"/>
          <w:sz w:val="24"/>
        </w:rPr>
      </w:pPr>
      <w:r>
        <w:rPr>
          <w:rFonts w:ascii="Century Gothic" w:hAnsi="Century Gothic"/>
          <w:b/>
          <w:color w:val="00467F"/>
          <w:sz w:val="24"/>
        </w:rPr>
        <w:t>Feasible Timelines and Considerations</w:t>
      </w:r>
    </w:p>
    <w:p w14:paraId="310529F4" w14:textId="71328A79" w:rsidR="00097CC0" w:rsidRDefault="00097CC0" w:rsidP="00097CC0">
      <w:pPr>
        <w:pStyle w:val="body"/>
      </w:pPr>
      <w:r>
        <w:t xml:space="preserve">At the last DAC meeting, the committee </w:t>
      </w:r>
      <w:r w:rsidR="00E207B0">
        <w:t xml:space="preserve">gave a preliminary </w:t>
      </w:r>
      <w:r>
        <w:t>recommend</w:t>
      </w:r>
      <w:r w:rsidR="00E207B0">
        <w:t>ation</w:t>
      </w:r>
      <w:r>
        <w:t xml:space="preserve"> that community colleges report their outcomes via the Chancellor’s Office Management Information System (MIS)</w:t>
      </w:r>
      <w:r w:rsidR="00E207B0">
        <w:t xml:space="preserve"> in future years</w:t>
      </w:r>
      <w:r>
        <w:t xml:space="preserve">, </w:t>
      </w:r>
      <w:proofErr w:type="gramStart"/>
      <w:r>
        <w:t>provided that</w:t>
      </w:r>
      <w:proofErr w:type="gramEnd"/>
      <w:r>
        <w:t xml:space="preserve"> both MIS and </w:t>
      </w:r>
      <w:proofErr w:type="spellStart"/>
      <w:r>
        <w:t>CCCApply</w:t>
      </w:r>
      <w:proofErr w:type="spellEnd"/>
      <w:r>
        <w:t>—</w:t>
      </w:r>
      <w:r w:rsidR="008B29B7">
        <w:t>the</w:t>
      </w:r>
      <w:r>
        <w:t xml:space="preserve"> common application form</w:t>
      </w:r>
      <w:r w:rsidR="008B29B7">
        <w:t xml:space="preserve"> for California community colleges</w:t>
      </w:r>
      <w:r>
        <w:t>, which captures some of the core metrics—could be amended to align with AEBG.</w:t>
      </w:r>
    </w:p>
    <w:p w14:paraId="75066DCC" w14:textId="1DBEDFA0" w:rsidR="00097CC0" w:rsidRDefault="00097CC0" w:rsidP="00097CC0">
      <w:pPr>
        <w:pStyle w:val="body"/>
      </w:pPr>
      <w:r>
        <w:t>Communications with the managers of the two systems revealed the following:</w:t>
      </w:r>
    </w:p>
    <w:p w14:paraId="3E95C7E7" w14:textId="30D43A44" w:rsidR="00097CC0" w:rsidRDefault="008B29B7" w:rsidP="00FA6089">
      <w:pPr>
        <w:pStyle w:val="body"/>
        <w:numPr>
          <w:ilvl w:val="0"/>
          <w:numId w:val="14"/>
        </w:numPr>
      </w:pPr>
      <w:r w:rsidRPr="008B29B7">
        <w:rPr>
          <w:rFonts w:ascii="Century Gothic" w:hAnsi="Century Gothic"/>
          <w:b/>
          <w:color w:val="595959" w:themeColor="text1" w:themeTint="A6"/>
          <w:spacing w:val="4"/>
        </w:rPr>
        <w:t>MIS</w:t>
      </w:r>
      <w:r>
        <w:t xml:space="preserve">: </w:t>
      </w:r>
      <w:r w:rsidR="00097CC0">
        <w:t xml:space="preserve">To ensure that colleges </w:t>
      </w:r>
      <w:proofErr w:type="gramStart"/>
      <w:r w:rsidR="00097CC0">
        <w:t>have the ability to</w:t>
      </w:r>
      <w:proofErr w:type="gramEnd"/>
      <w:r w:rsidR="00097CC0">
        <w:t xml:space="preserve"> capture new MIS elements, the Chancellor’s Office communicates new specifications to the field first, and then edits the data architecture in </w:t>
      </w:r>
      <w:r w:rsidR="00FC108C">
        <w:t xml:space="preserve">the </w:t>
      </w:r>
      <w:r w:rsidR="00097CC0">
        <w:t xml:space="preserve">August following the close of </w:t>
      </w:r>
      <w:r w:rsidR="00FC108C">
        <w:t>the</w:t>
      </w:r>
      <w:r w:rsidR="00097CC0">
        <w:t xml:space="preserve"> academic year. Therefore, Todd </w:t>
      </w:r>
      <w:proofErr w:type="spellStart"/>
      <w:r w:rsidR="00097CC0">
        <w:t>Hoig</w:t>
      </w:r>
      <w:proofErr w:type="spellEnd"/>
      <w:r w:rsidR="00097CC0">
        <w:t xml:space="preserve">, the MIS Director, recommended that new guidance be given to the field by early 2018, and that the </w:t>
      </w:r>
      <w:proofErr w:type="spellStart"/>
      <w:r w:rsidR="00097CC0">
        <w:t>chanages</w:t>
      </w:r>
      <w:proofErr w:type="spellEnd"/>
      <w:r w:rsidR="00097CC0">
        <w:t xml:space="preserve"> be implemented in August 2018.</w:t>
      </w:r>
    </w:p>
    <w:p w14:paraId="36CC2A7A" w14:textId="31C04DB7" w:rsidR="008B29B7" w:rsidRDefault="00097CC0" w:rsidP="00FA6089">
      <w:pPr>
        <w:pStyle w:val="body"/>
        <w:numPr>
          <w:ilvl w:val="0"/>
          <w:numId w:val="14"/>
        </w:numPr>
      </w:pPr>
      <w:proofErr w:type="spellStart"/>
      <w:r w:rsidRPr="008B29B7">
        <w:rPr>
          <w:rFonts w:ascii="Century Gothic" w:hAnsi="Century Gothic"/>
          <w:b/>
          <w:color w:val="595959" w:themeColor="text1" w:themeTint="A6"/>
          <w:spacing w:val="4"/>
        </w:rPr>
        <w:lastRenderedPageBreak/>
        <w:t>CCCApply</w:t>
      </w:r>
      <w:proofErr w:type="spellEnd"/>
      <w:r w:rsidR="008B29B7">
        <w:rPr>
          <w:rFonts w:ascii="Century Gothic" w:hAnsi="Century Gothic"/>
          <w:b/>
          <w:color w:val="595959" w:themeColor="text1" w:themeTint="A6"/>
          <w:spacing w:val="4"/>
        </w:rPr>
        <w:t>:</w:t>
      </w:r>
      <w:r>
        <w:t xml:space="preserve"> </w:t>
      </w:r>
      <w:r w:rsidR="008B29B7">
        <w:t>Additional f</w:t>
      </w:r>
      <w:r>
        <w:t>unding will be needed to implement the requested changes</w:t>
      </w:r>
      <w:r w:rsidR="008B29B7">
        <w:t xml:space="preserve"> by fall</w:t>
      </w:r>
      <w:r>
        <w:t>, and the</w:t>
      </w:r>
      <w:r w:rsidR="008B29B7">
        <w:t xml:space="preserve"> changes must still be</w:t>
      </w:r>
      <w:r>
        <w:t xml:space="preserve"> vetted by the steering committee. Tim </w:t>
      </w:r>
      <w:proofErr w:type="spellStart"/>
      <w:r>
        <w:t>Calhoon</w:t>
      </w:r>
      <w:proofErr w:type="spellEnd"/>
      <w:r>
        <w:t xml:space="preserve">, the director of the </w:t>
      </w:r>
      <w:proofErr w:type="spellStart"/>
      <w:r>
        <w:t>CCCTechnology</w:t>
      </w:r>
      <w:proofErr w:type="spellEnd"/>
      <w:r>
        <w:t xml:space="preserve"> Center, which maintains </w:t>
      </w:r>
      <w:proofErr w:type="spellStart"/>
      <w:r>
        <w:t>CCCApply</w:t>
      </w:r>
      <w:proofErr w:type="spellEnd"/>
      <w:r>
        <w:t xml:space="preserve">, thought changes </w:t>
      </w:r>
      <w:r w:rsidR="008B29B7">
        <w:t xml:space="preserve">to the content of the application </w:t>
      </w:r>
      <w:r>
        <w:t xml:space="preserve">could </w:t>
      </w:r>
      <w:r w:rsidR="008B29B7">
        <w:t xml:space="preserve">realistically </w:t>
      </w:r>
      <w:r>
        <w:t xml:space="preserve">be implemented by March 2018. </w:t>
      </w:r>
    </w:p>
    <w:p w14:paraId="15878908" w14:textId="7259DF71" w:rsidR="008B29B7" w:rsidRDefault="008B29B7" w:rsidP="008B29B7">
      <w:pPr>
        <w:pStyle w:val="body"/>
        <w:ind w:left="1440"/>
      </w:pPr>
      <w:r>
        <w:t xml:space="preserve">In regards to creating a simplified version of the form, </w:t>
      </w:r>
      <w:proofErr w:type="spellStart"/>
      <w:r>
        <w:t>Calhoon</w:t>
      </w:r>
      <w:proofErr w:type="spellEnd"/>
      <w:r w:rsidR="00097CC0">
        <w:t xml:space="preserve"> noted </w:t>
      </w:r>
      <w:r>
        <w:t xml:space="preserve">that the steering committee has been engaged in an extensive review of whether all current fields are needed, in response to complaints that the application is too long. </w:t>
      </w:r>
      <w:proofErr w:type="gramStart"/>
      <w:r>
        <w:t>Thus</w:t>
      </w:r>
      <w:proofErr w:type="gramEnd"/>
      <w:r>
        <w:t xml:space="preserve"> far, they have found that each item is required for</w:t>
      </w:r>
      <w:r w:rsidR="00FC108C">
        <w:t xml:space="preserve"> one of the following</w:t>
      </w:r>
      <w:r>
        <w:t>: 1) MIS; 2) to establish residency; or 3) to meet federal and state statu</w:t>
      </w:r>
      <w:r w:rsidR="00FC108C">
        <w:t>t</w:t>
      </w:r>
      <w:r>
        <w:t>es. Given that building a separate application form would likely take a year, he recommended hiding specific fields, if a determination could be made about the legality and implications of not collecting those items from adult education students.</w:t>
      </w:r>
    </w:p>
    <w:p w14:paraId="153361C3" w14:textId="23493684" w:rsidR="008B29B7" w:rsidRPr="00862E2B" w:rsidRDefault="008B29B7" w:rsidP="008B29B7">
      <w:pPr>
        <w:pStyle w:val="body"/>
        <w:spacing w:before="240"/>
        <w:rPr>
          <w:rFonts w:ascii="Century Gothic" w:hAnsi="Century Gothic"/>
          <w:b/>
          <w:color w:val="00467F"/>
          <w:sz w:val="24"/>
        </w:rPr>
      </w:pPr>
      <w:r>
        <w:rPr>
          <w:rFonts w:ascii="Century Gothic" w:hAnsi="Century Gothic"/>
          <w:b/>
          <w:color w:val="00467F"/>
          <w:sz w:val="24"/>
        </w:rPr>
        <w:t>Potential Options</w:t>
      </w:r>
    </w:p>
    <w:p w14:paraId="78EC564E" w14:textId="75F2B616" w:rsidR="008B29B7" w:rsidRDefault="008B29B7" w:rsidP="008B29B7">
      <w:pPr>
        <w:pStyle w:val="body"/>
      </w:pPr>
      <w:r>
        <w:t xml:space="preserve">This information yields </w:t>
      </w:r>
      <w:r w:rsidR="000E4F6E">
        <w:t>three</w:t>
      </w:r>
      <w:r>
        <w:t xml:space="preserve"> potential options:</w:t>
      </w:r>
    </w:p>
    <w:p w14:paraId="03224C77" w14:textId="483CF56C" w:rsidR="008B29B7" w:rsidRDefault="0060733C" w:rsidP="00FA6089">
      <w:pPr>
        <w:pStyle w:val="body"/>
        <w:numPr>
          <w:ilvl w:val="0"/>
          <w:numId w:val="15"/>
        </w:numPr>
      </w:pPr>
      <w:r w:rsidRPr="0060733C">
        <w:rPr>
          <w:b/>
        </w:rPr>
        <w:t>Delay MIS implementation until 2018-19</w:t>
      </w:r>
      <w:r>
        <w:t xml:space="preserve">. </w:t>
      </w:r>
      <w:r w:rsidR="008B29B7">
        <w:t xml:space="preserve">Because changes cannot be made in time for quarterly reporting in October 2017, colleges should continue to use </w:t>
      </w:r>
      <w:proofErr w:type="spellStart"/>
      <w:r w:rsidR="00B83B99">
        <w:t>TOPSpro</w:t>
      </w:r>
      <w:proofErr w:type="spellEnd"/>
      <w:r w:rsidR="00B83B99">
        <w:t xml:space="preserve"> Enterprise (</w:t>
      </w:r>
      <w:r w:rsidR="008B29B7">
        <w:t>TE</w:t>
      </w:r>
      <w:r w:rsidR="00B83B99">
        <w:t>)</w:t>
      </w:r>
      <w:r w:rsidR="008B29B7">
        <w:t>, rather than MIS for 2017-18, and move over to MIS starting in 2018-19.</w:t>
      </w:r>
    </w:p>
    <w:p w14:paraId="1D561EC9" w14:textId="0FEFB227" w:rsidR="008B29B7" w:rsidRDefault="0060733C" w:rsidP="00FA6089">
      <w:pPr>
        <w:pStyle w:val="body"/>
        <w:numPr>
          <w:ilvl w:val="0"/>
          <w:numId w:val="15"/>
        </w:numPr>
      </w:pPr>
      <w:r w:rsidRPr="0060733C">
        <w:rPr>
          <w:b/>
        </w:rPr>
        <w:t>Implement MIS in 2017-18 with caveats in the legislative report.</w:t>
      </w:r>
      <w:r>
        <w:t xml:space="preserve"> Given that relatively few data elements are missing from MIS and </w:t>
      </w:r>
      <w:proofErr w:type="spellStart"/>
      <w:r>
        <w:t>CCCApply</w:t>
      </w:r>
      <w:proofErr w:type="spellEnd"/>
      <w:r>
        <w:t>, AEBG could use MIS in 2017-18, with a caveat in the reporting that the following data elements may be missing</w:t>
      </w:r>
      <w:r w:rsidR="00C7016A">
        <w:t xml:space="preserve"> or derived</w:t>
      </w:r>
      <w:r>
        <w:t xml:space="preserve"> for a subset of adult education providers</w:t>
      </w:r>
      <w:r w:rsidR="00C7016A">
        <w:t>,</w:t>
      </w:r>
      <w:r w:rsidR="000E4F6E">
        <w:t xml:space="preserve"> for one year only while data systems are aligned</w:t>
      </w:r>
      <w:r>
        <w:t>:</w:t>
      </w:r>
    </w:p>
    <w:p w14:paraId="1566A01A" w14:textId="7E8FEA59" w:rsidR="0060733C" w:rsidRDefault="0060733C" w:rsidP="00FA6089">
      <w:pPr>
        <w:pStyle w:val="body"/>
        <w:numPr>
          <w:ilvl w:val="1"/>
          <w:numId w:val="15"/>
        </w:numPr>
      </w:pPr>
      <w:r>
        <w:t xml:space="preserve">For </w:t>
      </w:r>
      <w:r>
        <w:t xml:space="preserve">the </w:t>
      </w:r>
      <w:r>
        <w:t xml:space="preserve">Pre-apprenticeship </w:t>
      </w:r>
      <w:r>
        <w:t xml:space="preserve">program </w:t>
      </w:r>
      <w:r>
        <w:t>area, data will not be available.</w:t>
      </w:r>
    </w:p>
    <w:p w14:paraId="116B5A59" w14:textId="5EB0F565" w:rsidR="0060733C" w:rsidRDefault="0060733C" w:rsidP="00FA6089">
      <w:pPr>
        <w:pStyle w:val="body"/>
        <w:numPr>
          <w:ilvl w:val="1"/>
          <w:numId w:val="15"/>
        </w:numPr>
      </w:pPr>
      <w:r>
        <w:t>For the Entry/</w:t>
      </w:r>
      <w:proofErr w:type="spellStart"/>
      <w:r>
        <w:t>Rentry</w:t>
      </w:r>
      <w:proofErr w:type="spellEnd"/>
      <w:r>
        <w:t xml:space="preserve"> to the Workforce program area, data will not be available regarding homeless participants, seasonal farm workers, and participants exhausting TANF within two years.</w:t>
      </w:r>
    </w:p>
    <w:p w14:paraId="55C6A9BE" w14:textId="2B55657C" w:rsidR="0060733C" w:rsidRDefault="0060733C" w:rsidP="00FA6089">
      <w:pPr>
        <w:pStyle w:val="body"/>
        <w:numPr>
          <w:ilvl w:val="1"/>
          <w:numId w:val="15"/>
        </w:numPr>
      </w:pPr>
      <w:r>
        <w:t>For the ASE program area, data will not be available regarding GED or high school equivalency attainment.</w:t>
      </w:r>
    </w:p>
    <w:p w14:paraId="04E583CB" w14:textId="294C412A" w:rsidR="0060733C" w:rsidRDefault="0060733C" w:rsidP="00FA6089">
      <w:pPr>
        <w:pStyle w:val="body"/>
        <w:numPr>
          <w:ilvl w:val="1"/>
          <w:numId w:val="15"/>
        </w:numPr>
      </w:pPr>
      <w:r>
        <w:t>Information on support services provided to participants in child school success and citizenship programs will not be available.</w:t>
      </w:r>
    </w:p>
    <w:p w14:paraId="04E583CB" w14:textId="294C412A" w:rsidR="0060733C" w:rsidRDefault="0060733C" w:rsidP="00FA6089">
      <w:pPr>
        <w:pStyle w:val="body"/>
        <w:numPr>
          <w:ilvl w:val="1"/>
          <w:numId w:val="15"/>
        </w:numPr>
      </w:pPr>
      <w:r>
        <w:t xml:space="preserve">Information on services provided for students with disabilities will be based </w:t>
      </w:r>
      <w:r w:rsidR="00C7016A">
        <w:t xml:space="preserve">students who enrolled in noncredit courses who also accessed </w:t>
      </w:r>
      <w:r w:rsidR="000E4F6E">
        <w:t>D</w:t>
      </w:r>
      <w:r w:rsidR="000E4F6E" w:rsidRPr="000E4F6E">
        <w:t>isabled Student Programs and Services</w:t>
      </w:r>
      <w:r w:rsidR="000E4F6E">
        <w:t xml:space="preserve"> (</w:t>
      </w:r>
      <w:r>
        <w:t>DSPS</w:t>
      </w:r>
      <w:r w:rsidR="000E4F6E">
        <w:t>)</w:t>
      </w:r>
      <w:r>
        <w:t>.</w:t>
      </w:r>
    </w:p>
    <w:p w14:paraId="365B0CC3" w14:textId="54774088" w:rsidR="0060733C" w:rsidRDefault="0060733C" w:rsidP="00FA6089">
      <w:pPr>
        <w:pStyle w:val="body"/>
        <w:numPr>
          <w:ilvl w:val="1"/>
          <w:numId w:val="15"/>
        </w:numPr>
      </w:pPr>
      <w:r>
        <w:t>Long-term unemployed participants will be identified using the Employment Development Department’s wage file.</w:t>
      </w:r>
    </w:p>
    <w:p w14:paraId="455B4406" w14:textId="6C9F2604" w:rsidR="008B29B7" w:rsidRDefault="000E4F6E" w:rsidP="00FA6089">
      <w:pPr>
        <w:pStyle w:val="body"/>
        <w:numPr>
          <w:ilvl w:val="0"/>
          <w:numId w:val="15"/>
        </w:numPr>
      </w:pPr>
      <w:r>
        <w:rPr>
          <w:b/>
        </w:rPr>
        <w:lastRenderedPageBreak/>
        <w:t>Use TE for data elements that are missing from MIS in 2017-18</w:t>
      </w:r>
      <w:r w:rsidRPr="0060733C">
        <w:rPr>
          <w:b/>
        </w:rPr>
        <w:t>.</w:t>
      </w:r>
      <w:r>
        <w:t xml:space="preserve"> </w:t>
      </w:r>
      <w:r>
        <w:t xml:space="preserve">Colleges could be required to report elements that are not yet included in MIS into TE next year, while MIS and </w:t>
      </w:r>
      <w:proofErr w:type="spellStart"/>
      <w:r>
        <w:t>CCCApply</w:t>
      </w:r>
      <w:proofErr w:type="spellEnd"/>
      <w:r>
        <w:t xml:space="preserve"> are amended to align with AEBG</w:t>
      </w:r>
      <w:r w:rsidR="00C7016A">
        <w:t>, but MIS data could be used for all other elements</w:t>
      </w:r>
      <w:r>
        <w:t>.</w:t>
      </w:r>
    </w:p>
    <w:p w14:paraId="2FBBAFAB" w14:textId="77777777" w:rsidR="00F425C3" w:rsidRDefault="00F425C3" w:rsidP="00F425C3">
      <w:pPr>
        <w:pStyle w:val="Heading1"/>
        <w:spacing w:before="400"/>
      </w:pPr>
      <w:r>
        <w:t>Defining Post-Secondary</w:t>
      </w:r>
    </w:p>
    <w:p w14:paraId="4E4F0012" w14:textId="77777777" w:rsidR="00F425C3" w:rsidRPr="00862E2B" w:rsidRDefault="00F425C3" w:rsidP="00F425C3">
      <w:pPr>
        <w:pStyle w:val="body"/>
        <w:spacing w:before="240"/>
        <w:rPr>
          <w:rFonts w:ascii="Century Gothic" w:hAnsi="Century Gothic"/>
          <w:b/>
          <w:color w:val="00467F"/>
          <w:sz w:val="24"/>
        </w:rPr>
      </w:pPr>
      <w:r>
        <w:rPr>
          <w:rFonts w:ascii="Century Gothic" w:hAnsi="Century Gothic"/>
          <w:b/>
          <w:color w:val="00467F"/>
          <w:sz w:val="24"/>
        </w:rPr>
        <w:t>Potential Recommendations</w:t>
      </w:r>
    </w:p>
    <w:p w14:paraId="47C2A148" w14:textId="55C976D1" w:rsidR="00F425C3" w:rsidRDefault="00BF4D2C" w:rsidP="00F425C3">
      <w:pPr>
        <w:pStyle w:val="body"/>
      </w:pPr>
      <w:r>
        <w:t>In prior meetings, practitioners highlighted the lack of clarity about what it means to “transition to post-secondary.” There</w:t>
      </w:r>
      <w:r w:rsidR="00F425C3">
        <w:t xml:space="preserve"> have been no clear recommendations, </w:t>
      </w:r>
      <w:r>
        <w:t xml:space="preserve">but </w:t>
      </w:r>
      <w:r w:rsidR="000848C7">
        <w:t xml:space="preserve">this determination is likely to influence how completion and skills-gains metrics are constructed. To help provide a structure for this conversation, </w:t>
      </w:r>
      <w:r w:rsidR="00F425C3">
        <w:t>the following possibilities (either alone or in combination) could be considered by the Data and Accountability Committee:</w:t>
      </w:r>
    </w:p>
    <w:p w14:paraId="10B232D5" w14:textId="77777777" w:rsidR="00F425C3" w:rsidRDefault="00F425C3" w:rsidP="00FA6089">
      <w:pPr>
        <w:pStyle w:val="body"/>
        <w:numPr>
          <w:ilvl w:val="0"/>
          <w:numId w:val="6"/>
        </w:numPr>
      </w:pPr>
      <w:r>
        <w:t>Any course offered by an adult school or community college that teaches skills beyond a 12</w:t>
      </w:r>
      <w:r w:rsidRPr="003C5FF8">
        <w:rPr>
          <w:vertAlign w:val="superscript"/>
        </w:rPr>
        <w:t>th</w:t>
      </w:r>
      <w:r>
        <w:t xml:space="preserve"> grade level</w:t>
      </w:r>
    </w:p>
    <w:p w14:paraId="1F54C988" w14:textId="77777777" w:rsidR="00F425C3" w:rsidRDefault="00F425C3" w:rsidP="00FA6089">
      <w:pPr>
        <w:pStyle w:val="body"/>
        <w:numPr>
          <w:ilvl w:val="0"/>
          <w:numId w:val="6"/>
        </w:numPr>
      </w:pPr>
      <w:r>
        <w:t>Any course that is part of an accredited post-secondary program offered by a K12 adult school or community college</w:t>
      </w:r>
    </w:p>
    <w:p w14:paraId="12C42A12" w14:textId="77777777" w:rsidR="00F425C3" w:rsidRDefault="00F425C3" w:rsidP="00FA6089">
      <w:pPr>
        <w:pStyle w:val="body"/>
        <w:numPr>
          <w:ilvl w:val="0"/>
          <w:numId w:val="6"/>
        </w:numPr>
      </w:pPr>
      <w:r>
        <w:t>Any course offered by a community college (noncredit or credit)</w:t>
      </w:r>
    </w:p>
    <w:p w14:paraId="0A8EA8D8" w14:textId="77777777" w:rsidR="00F425C3" w:rsidRDefault="00F425C3" w:rsidP="00FA6089">
      <w:pPr>
        <w:pStyle w:val="body"/>
        <w:numPr>
          <w:ilvl w:val="0"/>
          <w:numId w:val="6"/>
        </w:numPr>
      </w:pPr>
      <w:r>
        <w:t xml:space="preserve">Any for-credit community college course </w:t>
      </w:r>
    </w:p>
    <w:p w14:paraId="1DF011B4" w14:textId="77777777" w:rsidR="00F425C3" w:rsidRPr="00AF4A5A" w:rsidRDefault="00F425C3" w:rsidP="00273248">
      <w:pPr>
        <w:pStyle w:val="body"/>
        <w:keepNext/>
        <w:spacing w:before="240"/>
        <w:rPr>
          <w:rFonts w:ascii="Century Gothic" w:hAnsi="Century Gothic"/>
          <w:b/>
          <w:color w:val="00467F"/>
          <w:sz w:val="24"/>
        </w:rPr>
      </w:pPr>
      <w:r>
        <w:rPr>
          <w:rFonts w:ascii="Century Gothic" w:hAnsi="Century Gothic"/>
          <w:b/>
          <w:color w:val="00467F"/>
          <w:sz w:val="24"/>
        </w:rPr>
        <w:t>Post-Secondary Designations for K12 Adult Schools</w:t>
      </w:r>
    </w:p>
    <w:p w14:paraId="1DE3F8D0" w14:textId="079BAE56" w:rsidR="00F425C3" w:rsidRDefault="00F425C3" w:rsidP="00F425C3">
      <w:pPr>
        <w:pStyle w:val="bullet-last"/>
        <w:spacing w:after="100" w:line="340" w:lineRule="atLeast"/>
        <w:ind w:left="720"/>
      </w:pPr>
      <w:r>
        <w:t xml:space="preserve">In the field team discussions, it was noted that K12 adult schools offer </w:t>
      </w:r>
      <w:r w:rsidR="00BF4D2C">
        <w:t xml:space="preserve">CTE </w:t>
      </w:r>
      <w:r>
        <w:t xml:space="preserve">programs that are accredited by the Council of Occupational Education and the Western Association of Schools and Colleges and are therefore eligible for Title IV </w:t>
      </w:r>
      <w:r w:rsidR="004F38DA">
        <w:t>f</w:t>
      </w:r>
      <w:r>
        <w:t xml:space="preserve">ederal </w:t>
      </w:r>
      <w:r w:rsidR="004F38DA">
        <w:t>s</w:t>
      </w:r>
      <w:r>
        <w:t xml:space="preserve">tudent </w:t>
      </w:r>
      <w:r w:rsidR="004F38DA">
        <w:t>a</w:t>
      </w:r>
      <w:r>
        <w:t>id</w:t>
      </w:r>
      <w:r w:rsidR="00BF4D2C">
        <w:t xml:space="preserve"> (FSA)</w:t>
      </w:r>
      <w:r>
        <w:t xml:space="preserve">. Under </w:t>
      </w:r>
      <w:r w:rsidR="00BF4D2C">
        <w:t>FSA</w:t>
      </w:r>
      <w:r>
        <w:t xml:space="preserve"> guidelines, adult schools can participate in Title IV as </w:t>
      </w:r>
      <w:r w:rsidR="00BF4D2C">
        <w:t>p</w:t>
      </w:r>
      <w:r>
        <w:t>ost</w:t>
      </w:r>
      <w:r w:rsidR="00BF4D2C">
        <w:t>-</w:t>
      </w:r>
      <w:r>
        <w:t xml:space="preserve">secondary </w:t>
      </w:r>
      <w:r w:rsidR="00BF4D2C">
        <w:t>v</w:t>
      </w:r>
      <w:r>
        <w:t xml:space="preserve">ocational </w:t>
      </w:r>
      <w:r w:rsidR="00BF4D2C">
        <w:t>i</w:t>
      </w:r>
      <w:r>
        <w:t>nstitutions provided they:</w:t>
      </w:r>
    </w:p>
    <w:p w14:paraId="4DCD15E8" w14:textId="7C427A79" w:rsidR="00F425C3" w:rsidRDefault="00F425C3" w:rsidP="00FA6089">
      <w:pPr>
        <w:pStyle w:val="body"/>
        <w:numPr>
          <w:ilvl w:val="0"/>
          <w:numId w:val="6"/>
        </w:numPr>
      </w:pPr>
      <w:r>
        <w:t>Are accredited by a nationally</w:t>
      </w:r>
      <w:r w:rsidR="00BF4D2C">
        <w:t>-</w:t>
      </w:r>
      <w:r>
        <w:t>recognized accrediting agency</w:t>
      </w:r>
      <w:r w:rsidR="00BF4D2C">
        <w:t>.</w:t>
      </w:r>
    </w:p>
    <w:p w14:paraId="4FCE5706" w14:textId="76D5E88B" w:rsidR="00F425C3" w:rsidRPr="0084697C" w:rsidRDefault="00F425C3" w:rsidP="00FA6089">
      <w:pPr>
        <w:pStyle w:val="ListParagraph"/>
        <w:numPr>
          <w:ilvl w:val="0"/>
          <w:numId w:val="6"/>
        </w:numPr>
        <w:autoSpaceDE w:val="0"/>
        <w:autoSpaceDN w:val="0"/>
        <w:adjustRightInd w:val="0"/>
        <w:rPr>
          <w:rFonts w:ascii="Constantia" w:hAnsi="Constantia" w:cs="Minion Pro"/>
          <w:color w:val="221E1F"/>
        </w:rPr>
      </w:pPr>
      <w:r w:rsidRPr="0084697C">
        <w:rPr>
          <w:rFonts w:ascii="Constantia" w:hAnsi="Constantia" w:cs="Minion Pro"/>
          <w:color w:val="000000"/>
        </w:rPr>
        <w:t>Admit</w:t>
      </w:r>
      <w:r w:rsidRPr="0084697C">
        <w:rPr>
          <w:rFonts w:ascii="Constantia" w:hAnsi="Constantia" w:cs="Minion Pro"/>
          <w:color w:val="221E1F"/>
        </w:rPr>
        <w:t xml:space="preserve"> as a regular student only individuals with a high school diploma or its recognized equivalent</w:t>
      </w:r>
      <w:r w:rsidR="00BF4D2C">
        <w:rPr>
          <w:rFonts w:ascii="Constantia" w:hAnsi="Constantia" w:cs="Minion Pro"/>
          <w:color w:val="221E1F"/>
        </w:rPr>
        <w:t>,</w:t>
      </w:r>
      <w:r w:rsidRPr="0084697C">
        <w:rPr>
          <w:rFonts w:ascii="Constantia" w:hAnsi="Constantia" w:cs="Minion Pro"/>
          <w:color w:val="221E1F"/>
        </w:rPr>
        <w:t xml:space="preserve"> or individuals beyond the age of compulsory school a</w:t>
      </w:r>
      <w:r>
        <w:rPr>
          <w:rFonts w:ascii="Constantia" w:hAnsi="Constantia" w:cs="Minion Pro"/>
          <w:color w:val="221E1F"/>
        </w:rPr>
        <w:t>ttendance.</w:t>
      </w:r>
      <w:r w:rsidR="00D34523">
        <w:rPr>
          <w:rStyle w:val="FootnoteReference"/>
          <w:rFonts w:ascii="Constantia" w:hAnsi="Constantia" w:cs="Minion Pro"/>
          <w:color w:val="221E1F"/>
        </w:rPr>
        <w:footnoteReference w:id="1"/>
      </w:r>
    </w:p>
    <w:p w14:paraId="39ED50AE" w14:textId="02E1CD0F" w:rsidR="00F425C3" w:rsidRDefault="00F425C3" w:rsidP="00F425C3">
      <w:pPr>
        <w:pStyle w:val="body"/>
      </w:pPr>
      <w:r>
        <w:t>Programs eligible for Title IV Pell grants under FSA guidelines must lead to “gainful employment” and be at least 15 weeks in length</w:t>
      </w:r>
      <w:r w:rsidR="00BF4D2C">
        <w:t>,</w:t>
      </w:r>
      <w:r>
        <w:t xml:space="preserve"> with at least 600 clock hours of instruction (in</w:t>
      </w:r>
      <w:r w:rsidR="00BF4D2C">
        <w:t>-</w:t>
      </w:r>
      <w:r>
        <w:t>class and out</w:t>
      </w:r>
      <w:r w:rsidR="00BF4D2C">
        <w:t>-</w:t>
      </w:r>
      <w:r>
        <w:t>of</w:t>
      </w:r>
      <w:r w:rsidR="00BF4D2C">
        <w:t>-</w:t>
      </w:r>
      <w:r>
        <w:t>class time) or 16 semester hours.</w:t>
      </w:r>
      <w:r w:rsidR="00987513">
        <w:rPr>
          <w:rStyle w:val="FootnoteReference"/>
        </w:rPr>
        <w:footnoteReference w:id="2"/>
      </w:r>
    </w:p>
    <w:p w14:paraId="603CF255" w14:textId="2560BABD" w:rsidR="00F425C3" w:rsidRDefault="00F425C3" w:rsidP="00F425C3">
      <w:pPr>
        <w:pStyle w:val="bullet-last"/>
        <w:spacing w:after="100" w:line="340" w:lineRule="atLeast"/>
        <w:ind w:left="720"/>
      </w:pPr>
      <w:r>
        <w:lastRenderedPageBreak/>
        <w:t xml:space="preserve">If </w:t>
      </w:r>
      <w:r w:rsidR="00BF4D2C">
        <w:t>post-secondary</w:t>
      </w:r>
      <w:r>
        <w:t xml:space="preserve"> education is defined to include K12 </w:t>
      </w:r>
      <w:r w:rsidR="00BF4D2C">
        <w:t>a</w:t>
      </w:r>
      <w:r>
        <w:t xml:space="preserve">dult </w:t>
      </w:r>
      <w:r w:rsidR="000848C7">
        <w:t>school</w:t>
      </w:r>
      <w:r w:rsidR="00BF4D2C">
        <w:t xml:space="preserve"> </w:t>
      </w:r>
      <w:r>
        <w:t xml:space="preserve">CTE certificate programs, </w:t>
      </w:r>
      <w:r w:rsidR="00BF4D2C">
        <w:t>A</w:t>
      </w:r>
      <w:r>
        <w:t>EBG would need to include mechanisms for capturing student transition</w:t>
      </w:r>
      <w:r w:rsidR="00BF4D2C">
        <w:t>s</w:t>
      </w:r>
      <w:r>
        <w:t xml:space="preserve"> </w:t>
      </w:r>
      <w:r w:rsidR="00BF4D2C">
        <w:t>from</w:t>
      </w:r>
      <w:r>
        <w:t xml:space="preserve"> ESL and </w:t>
      </w:r>
      <w:r w:rsidR="00BF4D2C">
        <w:t>b</w:t>
      </w:r>
      <w:r>
        <w:t>asic skills courses into K12 CTE programs. Additionally</w:t>
      </w:r>
      <w:r w:rsidR="00BF4D2C">
        <w:t>,</w:t>
      </w:r>
      <w:r>
        <w:t xml:space="preserve"> AEBG would need to specify if </w:t>
      </w:r>
      <w:r w:rsidR="00BF4D2C">
        <w:t xml:space="preserve">this post-secondary transition would only be measured in cases where those CTE programs meet Title IV requirements. </w:t>
      </w:r>
      <w:r>
        <w:t xml:space="preserve">Because TE does not distinguish between general participation in CTE and participation in accredited CTE certificate programs, </w:t>
      </w:r>
      <w:r w:rsidR="00BF4D2C">
        <w:t>either TE would need to be modified, or alternative means would need to be identified</w:t>
      </w:r>
      <w:r>
        <w:t>.</w:t>
      </w:r>
    </w:p>
    <w:p w14:paraId="1D299FE4" w14:textId="77777777" w:rsidR="00F425C3" w:rsidRPr="00AF4A5A" w:rsidRDefault="00F425C3" w:rsidP="00F425C3">
      <w:pPr>
        <w:pStyle w:val="body"/>
        <w:spacing w:before="240"/>
        <w:rPr>
          <w:rFonts w:ascii="Century Gothic" w:hAnsi="Century Gothic"/>
          <w:b/>
          <w:color w:val="00467F"/>
          <w:sz w:val="24"/>
        </w:rPr>
      </w:pPr>
      <w:r>
        <w:rPr>
          <w:rFonts w:ascii="Century Gothic" w:hAnsi="Century Gothic"/>
          <w:b/>
          <w:color w:val="00467F"/>
          <w:sz w:val="24"/>
        </w:rPr>
        <w:t>Post-Secondary Designations in MIS</w:t>
      </w:r>
    </w:p>
    <w:p w14:paraId="53F0C319" w14:textId="11AA7FD7" w:rsidR="000848C7" w:rsidRDefault="00F425C3" w:rsidP="00F425C3">
      <w:pPr>
        <w:pStyle w:val="bullet-last"/>
        <w:spacing w:after="100" w:line="340" w:lineRule="atLeast"/>
        <w:ind w:left="720"/>
      </w:pPr>
      <w:r w:rsidRPr="002142F9">
        <w:t xml:space="preserve">In MIS, </w:t>
      </w:r>
      <w:r>
        <w:t>i</w:t>
      </w:r>
      <w:r w:rsidRPr="002142F9">
        <w:t>f the definition is based on exceeding high school standards, a crosswalk would have to be developed that would compare the content of courses</w:t>
      </w:r>
      <w:r>
        <w:t xml:space="preserve"> in the CB21 framework compared to </w:t>
      </w:r>
      <w:r w:rsidR="000848C7">
        <w:t>National Reporting System (</w:t>
      </w:r>
      <w:r>
        <w:t>NRS</w:t>
      </w:r>
      <w:r w:rsidR="000848C7">
        <w:t>)</w:t>
      </w:r>
      <w:r>
        <w:t xml:space="preserve"> standards</w:t>
      </w:r>
      <w:r w:rsidRPr="002142F9">
        <w:t xml:space="preserve">. </w:t>
      </w:r>
      <w:r w:rsidR="000848C7">
        <w:t>A crosswalk between these two rubrics has been created as part of a previous effort by the Academic Senate for California Community Colleges and the California Community Colleges Chancellor’s Office (CCCCO), which could be leveraged for this purpose</w:t>
      </w:r>
      <w:r w:rsidR="000848C7">
        <w:rPr>
          <w:rStyle w:val="FootnoteReference"/>
        </w:rPr>
        <w:footnoteReference w:id="3"/>
      </w:r>
      <w:r w:rsidR="000848C7">
        <w:t xml:space="preserve">. </w:t>
      </w:r>
    </w:p>
    <w:p w14:paraId="59DD995D" w14:textId="71C63C58" w:rsidR="000848C7" w:rsidRDefault="00F425C3" w:rsidP="00F425C3">
      <w:pPr>
        <w:pStyle w:val="bullet-last"/>
        <w:spacing w:after="100" w:line="340" w:lineRule="atLeast"/>
        <w:ind w:left="720"/>
      </w:pPr>
      <w:r>
        <w:t>I</w:t>
      </w:r>
      <w:r w:rsidRPr="002142F9">
        <w:t>f post-secondary were defined as anything offered by an accredited post-secondary institution</w:t>
      </w:r>
      <w:r>
        <w:t xml:space="preserve"> or any type of college course</w:t>
      </w:r>
      <w:r w:rsidRPr="002142F9">
        <w:t>, all courses taken at a community college would count.</w:t>
      </w:r>
      <w:r>
        <w:t xml:space="preserve"> </w:t>
      </w:r>
      <w:r w:rsidR="000848C7">
        <w:t xml:space="preserve">However, guidance would need to be provided about how post-secondary transition should be recorded for adult education participants in noncredit community college </w:t>
      </w:r>
      <w:r w:rsidR="000D1155">
        <w:t>programs</w:t>
      </w:r>
      <w:r w:rsidR="000848C7">
        <w:t>.</w:t>
      </w:r>
    </w:p>
    <w:p w14:paraId="60E7AEB7" w14:textId="55F8D6D6" w:rsidR="00F425C3" w:rsidRDefault="00F425C3" w:rsidP="00F425C3">
      <w:pPr>
        <w:pStyle w:val="bullet-last"/>
        <w:spacing w:after="100" w:line="340" w:lineRule="atLeast"/>
        <w:ind w:left="720"/>
      </w:pPr>
      <w:r>
        <w:t>I</w:t>
      </w:r>
      <w:r w:rsidRPr="002142F9">
        <w:t>f the definition of post-secondary was credit coursework, this could be identified using the course credit code (CB04</w:t>
      </w:r>
      <w:r w:rsidR="00987513">
        <w:rPr>
          <w:rStyle w:val="FootnoteReference"/>
        </w:rPr>
        <w:footnoteReference w:id="4"/>
      </w:r>
      <w:r w:rsidRPr="002142F9">
        <w:t>).</w:t>
      </w:r>
    </w:p>
    <w:p w14:paraId="332687DC" w14:textId="77777777" w:rsidR="00F425C3" w:rsidRPr="00AF4A5A" w:rsidRDefault="00F425C3" w:rsidP="00987513">
      <w:pPr>
        <w:pStyle w:val="body"/>
        <w:keepNext/>
        <w:spacing w:before="240"/>
        <w:rPr>
          <w:rFonts w:ascii="Century Gothic" w:hAnsi="Century Gothic"/>
          <w:b/>
          <w:color w:val="00467F"/>
          <w:sz w:val="24"/>
        </w:rPr>
      </w:pPr>
      <w:r>
        <w:rPr>
          <w:rFonts w:ascii="Century Gothic" w:hAnsi="Century Gothic"/>
          <w:b/>
          <w:color w:val="00467F"/>
          <w:sz w:val="24"/>
        </w:rPr>
        <w:t>Tracking Students</w:t>
      </w:r>
    </w:p>
    <w:p w14:paraId="6836D38B" w14:textId="01882B86" w:rsidR="00F425C3" w:rsidRDefault="00F425C3" w:rsidP="00F425C3">
      <w:pPr>
        <w:pStyle w:val="bullet-last"/>
        <w:spacing w:after="100" w:line="340" w:lineRule="atLeast"/>
        <w:ind w:left="720"/>
      </w:pPr>
      <w:proofErr w:type="gramStart"/>
      <w:r>
        <w:t>In order to</w:t>
      </w:r>
      <w:proofErr w:type="gramEnd"/>
      <w:r>
        <w:t xml:space="preserve"> determine whether the same student has enrolled in both adult school and a post-secondary program, a reliable data match </w:t>
      </w:r>
      <w:r w:rsidR="000D1155">
        <w:t xml:space="preserve">between TE and MIS </w:t>
      </w:r>
      <w:r>
        <w:t xml:space="preserve">will be needed.  The </w:t>
      </w:r>
      <w:r w:rsidR="00F94A2D">
        <w:t xml:space="preserve">current </w:t>
      </w:r>
      <w:r>
        <w:t xml:space="preserve">strategy </w:t>
      </w:r>
      <w:r w:rsidR="00F94A2D">
        <w:t>is to</w:t>
      </w:r>
      <w:r>
        <w:t xml:space="preserve"> compare a combination of student-level fields such as first name, last name, date of birth, and gender gathered in </w:t>
      </w:r>
      <w:r w:rsidR="000D1155">
        <w:t>TE</w:t>
      </w:r>
      <w:r>
        <w:t xml:space="preserve"> with the same types of fields in MIS. This approach will necessitate accurate documentation of student information by both K12 adult schools and community colleges—including accounting for the various names a participant might use</w:t>
      </w:r>
      <w:r w:rsidR="000848C7">
        <w:t>,</w:t>
      </w:r>
      <w:r>
        <w:t xml:space="preserve"> including nicknames, </w:t>
      </w:r>
      <w:proofErr w:type="spellStart"/>
      <w:r>
        <w:t>anglicization</w:t>
      </w:r>
      <w:proofErr w:type="spellEnd"/>
      <w:r>
        <w:t xml:space="preserve"> of foreign names, which name to use in cases where the participant has multiple surnames, and tracking participants whose names change upon marriage and divorce.   </w:t>
      </w:r>
    </w:p>
    <w:p w14:paraId="1A5E666C" w14:textId="1BD0A233" w:rsidR="00F425C3" w:rsidRDefault="00F425C3" w:rsidP="00F425C3">
      <w:pPr>
        <w:pStyle w:val="bullet-last"/>
        <w:spacing w:after="100" w:line="340" w:lineRule="atLeast"/>
        <w:ind w:left="720"/>
      </w:pPr>
      <w:r>
        <w:t xml:space="preserve">Another strategy would be for K12 adult schools to adopt a common identifier, such as the student identifier (SSID) used in other K12 contexts. This ID is already being linked </w:t>
      </w:r>
      <w:r>
        <w:lastRenderedPageBreak/>
        <w:t xml:space="preserve">between CDE and the Chancellor’s Office through </w:t>
      </w:r>
      <w:proofErr w:type="spellStart"/>
      <w:r>
        <w:t>CCCApply</w:t>
      </w:r>
      <w:proofErr w:type="spellEnd"/>
      <w:r>
        <w:t>, which provides a potent opportunity for improving match rates for both AEBG and WIOA Title II reporting.</w:t>
      </w:r>
    </w:p>
    <w:p w14:paraId="6417FDCE" w14:textId="77307240" w:rsidR="00862E2B" w:rsidRDefault="009B2F32" w:rsidP="00C076D1">
      <w:pPr>
        <w:pStyle w:val="Heading1"/>
        <w:spacing w:before="400"/>
      </w:pPr>
      <w:r>
        <w:t>Completion</w:t>
      </w:r>
    </w:p>
    <w:p w14:paraId="758CEB5C" w14:textId="62CF0905" w:rsidR="00B67C6D" w:rsidRPr="00862E2B" w:rsidRDefault="00F94A2D" w:rsidP="00862E2B">
      <w:pPr>
        <w:pStyle w:val="body"/>
        <w:spacing w:before="240"/>
        <w:rPr>
          <w:rFonts w:ascii="Century Gothic" w:hAnsi="Century Gothic"/>
          <w:b/>
          <w:color w:val="00467F"/>
          <w:sz w:val="24"/>
        </w:rPr>
      </w:pPr>
      <w:r>
        <w:rPr>
          <w:rFonts w:ascii="Century Gothic" w:hAnsi="Century Gothic"/>
          <w:b/>
          <w:color w:val="00467F"/>
          <w:sz w:val="24"/>
        </w:rPr>
        <w:t>Topics for Discussion</w:t>
      </w:r>
    </w:p>
    <w:p w14:paraId="4E185928" w14:textId="2B8B43AA" w:rsidR="00B67C6D" w:rsidRPr="004A6EF0" w:rsidRDefault="000A34E5" w:rsidP="00B67C6D">
      <w:pPr>
        <w:pStyle w:val="body"/>
      </w:pPr>
      <w:r>
        <w:t xml:space="preserve">Based on the </w:t>
      </w:r>
      <w:r w:rsidR="00827F1F">
        <w:t>initial meetin</w:t>
      </w:r>
      <w:r w:rsidR="00643AB1">
        <w:t>g</w:t>
      </w:r>
      <w:r w:rsidR="00827F1F">
        <w:t xml:space="preserve"> of the CTE Assessment Field Committee</w:t>
      </w:r>
      <w:r>
        <w:t xml:space="preserve">, the following </w:t>
      </w:r>
      <w:r w:rsidR="00F94A2D">
        <w:t>questions</w:t>
      </w:r>
      <w:r>
        <w:t xml:space="preserve"> have emerged:</w:t>
      </w:r>
    </w:p>
    <w:p w14:paraId="1C389810" w14:textId="75B9B7CA" w:rsidR="000A34E5" w:rsidRDefault="00F94A2D" w:rsidP="00FA6089">
      <w:pPr>
        <w:pStyle w:val="bullet-first"/>
        <w:numPr>
          <w:ilvl w:val="0"/>
          <w:numId w:val="3"/>
        </w:numPr>
        <w:spacing w:before="120" w:after="0" w:line="340" w:lineRule="atLeast"/>
      </w:pPr>
      <w:r>
        <w:t xml:space="preserve">What </w:t>
      </w:r>
      <w:r w:rsidR="00656770">
        <w:t xml:space="preserve">should </w:t>
      </w:r>
      <w:r>
        <w:t>the</w:t>
      </w:r>
      <w:r w:rsidR="00401B2E">
        <w:t xml:space="preserve"> threshold for credentials</w:t>
      </w:r>
      <w:r>
        <w:t xml:space="preserve"> </w:t>
      </w:r>
      <w:r w:rsidR="00656770">
        <w:t>be?</w:t>
      </w:r>
      <w:r>
        <w:t xml:space="preserve"> For example, should AEBG</w:t>
      </w:r>
      <w:r w:rsidR="00401B2E">
        <w:t xml:space="preserve"> count </w:t>
      </w:r>
      <w:r w:rsidR="00610866">
        <w:t xml:space="preserve">only </w:t>
      </w:r>
      <w:r w:rsidR="009B2F32">
        <w:t xml:space="preserve">certificates that meet the </w:t>
      </w:r>
      <w:r w:rsidR="000848C7">
        <w:t>f</w:t>
      </w:r>
      <w:r w:rsidR="009B2F32">
        <w:t>ederal definitions for industry</w:t>
      </w:r>
      <w:r w:rsidR="000848C7">
        <w:t>-</w:t>
      </w:r>
      <w:r w:rsidR="009B2F32">
        <w:t>recognized</w:t>
      </w:r>
      <w:r w:rsidR="00610866">
        <w:t>,</w:t>
      </w:r>
      <w:r w:rsidR="009B2F32">
        <w:t xml:space="preserve"> </w:t>
      </w:r>
      <w:r w:rsidR="00BF4D2C">
        <w:t>post-secondary</w:t>
      </w:r>
      <w:r w:rsidR="009B2F32">
        <w:t xml:space="preserve"> credentials</w:t>
      </w:r>
      <w:r w:rsidR="00401B2E">
        <w:t xml:space="preserve"> or </w:t>
      </w:r>
      <w:r w:rsidR="009B2F32">
        <w:t xml:space="preserve">all CTE certificates issued by K12 </w:t>
      </w:r>
      <w:r w:rsidR="000848C7">
        <w:t>a</w:t>
      </w:r>
      <w:r w:rsidR="009B2F32">
        <w:t xml:space="preserve">dult </w:t>
      </w:r>
      <w:r w:rsidR="000848C7">
        <w:t>schools</w:t>
      </w:r>
      <w:r w:rsidR="009B2F32">
        <w:t xml:space="preserve"> and </w:t>
      </w:r>
      <w:r w:rsidR="000848C7">
        <w:t>c</w:t>
      </w:r>
      <w:r w:rsidR="009B2F32">
        <w:t>ommunity</w:t>
      </w:r>
      <w:r w:rsidR="000A34E5">
        <w:t xml:space="preserve"> </w:t>
      </w:r>
      <w:r w:rsidR="000848C7">
        <w:t>c</w:t>
      </w:r>
      <w:r w:rsidR="009B2F32">
        <w:t>ollege</w:t>
      </w:r>
      <w:r w:rsidR="000848C7">
        <w:t>s</w:t>
      </w:r>
      <w:r>
        <w:t>?</w:t>
      </w:r>
    </w:p>
    <w:p w14:paraId="3001B7C9" w14:textId="43BB0F01" w:rsidR="009B2F32" w:rsidRDefault="00610866" w:rsidP="00FA6089">
      <w:pPr>
        <w:pStyle w:val="bullet-first"/>
        <w:numPr>
          <w:ilvl w:val="0"/>
          <w:numId w:val="3"/>
        </w:numPr>
        <w:spacing w:before="120" w:after="0" w:line="340" w:lineRule="atLeast"/>
      </w:pPr>
      <w:r>
        <w:t>Should</w:t>
      </w:r>
      <w:r w:rsidR="009B2F32">
        <w:t xml:space="preserve"> third</w:t>
      </w:r>
      <w:r w:rsidR="00F94A2D">
        <w:t>-</w:t>
      </w:r>
      <w:r w:rsidR="009B2F32">
        <w:t>party credentials</w:t>
      </w:r>
      <w:r w:rsidR="00401B2E">
        <w:t xml:space="preserve"> </w:t>
      </w:r>
      <w:r>
        <w:t xml:space="preserve">be included </w:t>
      </w:r>
      <w:r w:rsidR="00401B2E">
        <w:t>in the completion metric</w:t>
      </w:r>
      <w:r>
        <w:t>?</w:t>
      </w:r>
    </w:p>
    <w:p w14:paraId="280E420D" w14:textId="6262A55A" w:rsidR="001A1C9C" w:rsidRDefault="001A1C9C" w:rsidP="00FA6089">
      <w:pPr>
        <w:pStyle w:val="bullet-first"/>
        <w:numPr>
          <w:ilvl w:val="0"/>
          <w:numId w:val="3"/>
        </w:numPr>
        <w:spacing w:before="120" w:after="0" w:line="340" w:lineRule="atLeast"/>
      </w:pPr>
      <w:r>
        <w:t xml:space="preserve">How </w:t>
      </w:r>
      <w:r w:rsidR="00610866">
        <w:t>should completion be</w:t>
      </w:r>
      <w:r>
        <w:t xml:space="preserve"> track</w:t>
      </w:r>
      <w:r w:rsidR="00610866">
        <w:t>ed</w:t>
      </w:r>
      <w:r>
        <w:t xml:space="preserve"> in </w:t>
      </w:r>
      <w:r w:rsidR="00ED44C9">
        <w:t>adult basic education (</w:t>
      </w:r>
      <w:r>
        <w:t>ABE</w:t>
      </w:r>
      <w:r w:rsidR="00ED44C9">
        <w:t>)</w:t>
      </w:r>
      <w:r>
        <w:t xml:space="preserve">, </w:t>
      </w:r>
      <w:r w:rsidR="00ED44C9">
        <w:t>adult secondary education (</w:t>
      </w:r>
      <w:r>
        <w:t>ASE</w:t>
      </w:r>
      <w:r w:rsidR="00ED44C9">
        <w:t>)</w:t>
      </w:r>
      <w:r>
        <w:t xml:space="preserve">, and </w:t>
      </w:r>
      <w:r w:rsidR="00ED44C9">
        <w:t>English as a second language (</w:t>
      </w:r>
      <w:r>
        <w:t>ESL</w:t>
      </w:r>
      <w:r w:rsidR="00ED44C9">
        <w:t>)</w:t>
      </w:r>
      <w:r w:rsidR="00610866">
        <w:t>?</w:t>
      </w:r>
    </w:p>
    <w:p w14:paraId="2C651361" w14:textId="65FA622D" w:rsidR="000A34E5" w:rsidRDefault="009B2F32" w:rsidP="009B2F32">
      <w:pPr>
        <w:pStyle w:val="body"/>
        <w:spacing w:before="240"/>
        <w:rPr>
          <w:rFonts w:ascii="Century Gothic" w:hAnsi="Century Gothic"/>
          <w:b/>
          <w:color w:val="00467F"/>
          <w:sz w:val="24"/>
        </w:rPr>
      </w:pPr>
      <w:r>
        <w:rPr>
          <w:rFonts w:ascii="Century Gothic" w:hAnsi="Century Gothic"/>
          <w:b/>
          <w:color w:val="00467F"/>
          <w:sz w:val="24"/>
        </w:rPr>
        <w:t>CTE Committee Recommendations</w:t>
      </w:r>
    </w:p>
    <w:p w14:paraId="775F8B1A" w14:textId="348E564D" w:rsidR="009A169F" w:rsidRDefault="009A169F" w:rsidP="009A169F">
      <w:pPr>
        <w:pStyle w:val="bullet-last"/>
        <w:spacing w:before="120" w:after="0" w:line="340" w:lineRule="atLeast"/>
        <w:ind w:left="720"/>
      </w:pPr>
      <w:r>
        <w:t>The CTE Assessment Field Committee recommended that CTE programs be defined as those that:</w:t>
      </w:r>
    </w:p>
    <w:p w14:paraId="27686613" w14:textId="706B0185" w:rsidR="009A169F" w:rsidRDefault="009A169F" w:rsidP="00FA6089">
      <w:pPr>
        <w:pStyle w:val="bullet-last"/>
        <w:numPr>
          <w:ilvl w:val="0"/>
          <w:numId w:val="5"/>
        </w:numPr>
        <w:spacing w:before="120" w:after="0" w:line="340" w:lineRule="atLeast"/>
      </w:pPr>
      <w:r>
        <w:t>Are connected to a career pathway</w:t>
      </w:r>
    </w:p>
    <w:p w14:paraId="6B20A3AB" w14:textId="72766CCB" w:rsidR="009A169F" w:rsidRDefault="009A169F" w:rsidP="00FA6089">
      <w:pPr>
        <w:pStyle w:val="bullet-last"/>
        <w:numPr>
          <w:ilvl w:val="0"/>
          <w:numId w:val="5"/>
        </w:numPr>
        <w:spacing w:before="60" w:after="0" w:line="340" w:lineRule="atLeast"/>
      </w:pPr>
      <w:r>
        <w:t>Teach skills that lead to stable employment</w:t>
      </w:r>
    </w:p>
    <w:p w14:paraId="7D33FA60" w14:textId="173B7DA2" w:rsidR="009A169F" w:rsidRDefault="009A169F" w:rsidP="00FA6089">
      <w:pPr>
        <w:pStyle w:val="bullet-last"/>
        <w:numPr>
          <w:ilvl w:val="0"/>
          <w:numId w:val="5"/>
        </w:numPr>
        <w:spacing w:before="60" w:after="0" w:line="340" w:lineRule="atLeast"/>
      </w:pPr>
      <w:r>
        <w:t>Enable students to earn a credential that is recognized by employers</w:t>
      </w:r>
    </w:p>
    <w:p w14:paraId="3529D799" w14:textId="1727B93B" w:rsidR="000A34E5" w:rsidRDefault="009A169F" w:rsidP="00FA6089">
      <w:pPr>
        <w:pStyle w:val="bullet-last"/>
        <w:numPr>
          <w:ilvl w:val="0"/>
          <w:numId w:val="5"/>
        </w:numPr>
        <w:spacing w:before="60" w:after="0" w:line="340" w:lineRule="atLeast"/>
      </w:pPr>
      <w:r>
        <w:t>Support participants in preparing for college credit or noncredit programs.</w:t>
      </w:r>
    </w:p>
    <w:p w14:paraId="6A30F9FE" w14:textId="5DABC4A9" w:rsidR="009A169F" w:rsidRDefault="00401B2E" w:rsidP="009A169F">
      <w:pPr>
        <w:pStyle w:val="body"/>
        <w:spacing w:before="120" w:after="0"/>
      </w:pPr>
      <w:r>
        <w:t xml:space="preserve">The </w:t>
      </w:r>
      <w:r w:rsidR="009A169F">
        <w:t>committee did not arrive at a precise definition</w:t>
      </w:r>
      <w:r>
        <w:t xml:space="preserve"> for short-term CTE</w:t>
      </w:r>
      <w:r w:rsidR="009A169F">
        <w:t xml:space="preserve">, but agreed that it </w:t>
      </w:r>
      <w:r>
        <w:t xml:space="preserve">refers to programs that align with the criteria above and are </w:t>
      </w:r>
      <w:r w:rsidR="009A169F">
        <w:t xml:space="preserve">less than 12 months in length. The </w:t>
      </w:r>
      <w:r>
        <w:t>group</w:t>
      </w:r>
      <w:r w:rsidR="009A169F">
        <w:t xml:space="preserve"> advocated strongly that </w:t>
      </w:r>
      <w:r w:rsidR="009A169F">
        <w:rPr>
          <w:i/>
        </w:rPr>
        <w:t>all</w:t>
      </w:r>
      <w:r w:rsidR="009A169F">
        <w:t xml:space="preserve"> certificates offered by adult education providers (K12 and college) </w:t>
      </w:r>
      <w:r>
        <w:t>should be counted in the completion metric</w:t>
      </w:r>
      <w:r w:rsidR="009A169F">
        <w:t xml:space="preserve">. This would include certificates </w:t>
      </w:r>
      <w:r>
        <w:t>associated with</w:t>
      </w:r>
      <w:r w:rsidR="009A169F">
        <w:t xml:space="preserve"> completin</w:t>
      </w:r>
      <w:r>
        <w:t>g</w:t>
      </w:r>
      <w:r w:rsidR="009A169F">
        <w:t xml:space="preserve"> </w:t>
      </w:r>
      <w:r>
        <w:t>a</w:t>
      </w:r>
      <w:r w:rsidR="009A169F">
        <w:t xml:space="preserve"> single course or </w:t>
      </w:r>
      <w:r w:rsidR="00F94A2D">
        <w:t xml:space="preserve">mastering a single </w:t>
      </w:r>
      <w:r w:rsidR="009A169F">
        <w:t>competency</w:t>
      </w:r>
      <w:r>
        <w:t>,</w:t>
      </w:r>
      <w:r w:rsidR="009A169F">
        <w:t xml:space="preserve"> as well as l</w:t>
      </w:r>
      <w:r w:rsidR="00747835">
        <w:t xml:space="preserve">arger </w:t>
      </w:r>
      <w:r w:rsidR="009A169F">
        <w:t xml:space="preserve">credentials that involve multiple courses </w:t>
      </w:r>
      <w:r>
        <w:t>and</w:t>
      </w:r>
      <w:r w:rsidR="009A169F">
        <w:t xml:space="preserve"> competencies</w:t>
      </w:r>
      <w:r w:rsidR="00747835">
        <w:t xml:space="preserve"> and are aligned to federal standards for an industry</w:t>
      </w:r>
      <w:r w:rsidR="00F94A2D">
        <w:t>-</w:t>
      </w:r>
      <w:r w:rsidR="00747835">
        <w:t xml:space="preserve">recognized certificate under WIOA, </w:t>
      </w:r>
      <w:r>
        <w:t xml:space="preserve">the Carl D. </w:t>
      </w:r>
      <w:r w:rsidR="00747835">
        <w:t>Perkins</w:t>
      </w:r>
      <w:r>
        <w:t xml:space="preserve"> Career and Technical Education Act</w:t>
      </w:r>
      <w:r w:rsidR="009353E3">
        <w:t xml:space="preserve"> (Perkins)</w:t>
      </w:r>
      <w:r>
        <w:t>, or Title IV</w:t>
      </w:r>
      <w:r w:rsidR="00747835">
        <w:t xml:space="preserve">. The preference of the committee was that occupational safety and workforce preparation certificates also count towards completion, </w:t>
      </w:r>
      <w:proofErr w:type="gramStart"/>
      <w:r w:rsidR="00747835">
        <w:t>despite the fact that</w:t>
      </w:r>
      <w:proofErr w:type="gramEnd"/>
      <w:r w:rsidR="00747835">
        <w:t xml:space="preserve"> both of these types of certificates are excluded as credentials under WIOA.</w:t>
      </w:r>
    </w:p>
    <w:p w14:paraId="00460EEF" w14:textId="3780526A" w:rsidR="00F94A2D" w:rsidRDefault="00747835" w:rsidP="009A169F">
      <w:pPr>
        <w:pStyle w:val="body"/>
        <w:spacing w:before="120" w:after="0"/>
      </w:pPr>
      <w:r>
        <w:t xml:space="preserve">The </w:t>
      </w:r>
      <w:r w:rsidR="00F94A2D">
        <w:t>committee recognized that course-</w:t>
      </w:r>
      <w:r>
        <w:t xml:space="preserve">based certificates are different in scale and scope than </w:t>
      </w:r>
      <w:proofErr w:type="spellStart"/>
      <w:r>
        <w:t>certicates</w:t>
      </w:r>
      <w:proofErr w:type="spellEnd"/>
      <w:r>
        <w:t xml:space="preserve"> approved for FSA or Perkins, but felt that both were of value and important to capture. </w:t>
      </w:r>
      <w:proofErr w:type="gramStart"/>
      <w:r>
        <w:t>In particular, for</w:t>
      </w:r>
      <w:proofErr w:type="gramEnd"/>
      <w:r>
        <w:t xml:space="preserve"> individuals facing the most severe barriers, a single </w:t>
      </w:r>
      <w:r>
        <w:lastRenderedPageBreak/>
        <w:t>course could be the tipping factor for obtaining employment</w:t>
      </w:r>
      <w:r w:rsidR="00F94A2D">
        <w:t>,</w:t>
      </w:r>
      <w:r>
        <w:t xml:space="preserve"> </w:t>
      </w:r>
      <w:r w:rsidR="00F94A2D">
        <w:t>attaining a basic level of financial stability, or transforming their sense of possibility. The group weighed some other means of tracking these important milestones, such as recognizing</w:t>
      </w:r>
      <w:r w:rsidR="000210AB">
        <w:t xml:space="preserve"> shorter certificates </w:t>
      </w:r>
      <w:r w:rsidR="00F94A2D">
        <w:t>under the</w:t>
      </w:r>
      <w:r w:rsidR="000210AB">
        <w:t xml:space="preserve"> measurable skills gain </w:t>
      </w:r>
      <w:r w:rsidR="00F94A2D">
        <w:t>metric, or demonstrating student outcomes in the employment and earnings metrics</w:t>
      </w:r>
      <w:r w:rsidR="000210AB">
        <w:t xml:space="preserve">. </w:t>
      </w:r>
      <w:r w:rsidR="00F94A2D">
        <w:t>However, they ultimately recommended that all certificates be counted, regardless of length.</w:t>
      </w:r>
    </w:p>
    <w:p w14:paraId="50FB74E5" w14:textId="2BED9BBF" w:rsidR="009D23DB" w:rsidRPr="00862E2B" w:rsidRDefault="009F7BD8" w:rsidP="00862E2B">
      <w:pPr>
        <w:pStyle w:val="body"/>
        <w:spacing w:before="240"/>
        <w:rPr>
          <w:rFonts w:ascii="Century Gothic" w:hAnsi="Century Gothic"/>
          <w:b/>
          <w:color w:val="00467F"/>
          <w:sz w:val="24"/>
        </w:rPr>
      </w:pPr>
      <w:r>
        <w:rPr>
          <w:rFonts w:ascii="Century Gothic" w:hAnsi="Century Gothic"/>
          <w:b/>
          <w:color w:val="00467F"/>
          <w:sz w:val="24"/>
        </w:rPr>
        <w:t xml:space="preserve">Federal </w:t>
      </w:r>
      <w:r w:rsidR="00505381">
        <w:rPr>
          <w:rFonts w:ascii="Century Gothic" w:hAnsi="Century Gothic"/>
          <w:b/>
          <w:color w:val="00467F"/>
          <w:sz w:val="24"/>
        </w:rPr>
        <w:t xml:space="preserve">and State </w:t>
      </w:r>
      <w:r w:rsidR="00747835">
        <w:rPr>
          <w:rFonts w:ascii="Century Gothic" w:hAnsi="Century Gothic"/>
          <w:b/>
          <w:color w:val="00467F"/>
          <w:sz w:val="24"/>
        </w:rPr>
        <w:t>Guidance Regarding Completion</w:t>
      </w:r>
    </w:p>
    <w:p w14:paraId="1262CA75" w14:textId="2B1D6094" w:rsidR="007C400D" w:rsidRDefault="007C400D" w:rsidP="007C400D">
      <w:pPr>
        <w:pStyle w:val="bullet-last"/>
        <w:spacing w:before="120" w:after="0" w:line="340" w:lineRule="atLeast"/>
        <w:ind w:left="720"/>
      </w:pPr>
      <w:r>
        <w:t>The AEBG measures of effectiveness and WIOA performance indicators both identify completion as a core outcome:</w:t>
      </w:r>
    </w:p>
    <w:p w14:paraId="462C9EBA" w14:textId="4A5A9CE3" w:rsidR="007C400D" w:rsidRDefault="007C400D" w:rsidP="00FA6089">
      <w:pPr>
        <w:pStyle w:val="bullet-last"/>
        <w:numPr>
          <w:ilvl w:val="0"/>
          <w:numId w:val="8"/>
        </w:numPr>
        <w:spacing w:before="120" w:after="0" w:line="340" w:lineRule="atLeast"/>
      </w:pPr>
      <w:r w:rsidRPr="000210AB">
        <w:rPr>
          <w:rFonts w:ascii="Century Gothic" w:hAnsi="Century Gothic"/>
          <w:b/>
          <w:color w:val="595959" w:themeColor="text1" w:themeTint="A6"/>
        </w:rPr>
        <w:t>AEBG:</w:t>
      </w:r>
      <w:r w:rsidRPr="007C400D">
        <w:rPr>
          <w:rFonts w:ascii="Century Gothic" w:hAnsi="Century Gothic"/>
          <w:b/>
          <w:color w:val="0070C0"/>
        </w:rPr>
        <w:t xml:space="preserve"> </w:t>
      </w:r>
      <w:r w:rsidRPr="00DA4831">
        <w:rPr>
          <w:color w:val="auto"/>
          <w:sz w:val="24"/>
        </w:rPr>
        <w:t>1)</w:t>
      </w:r>
      <w:r w:rsidRPr="007C400D">
        <w:rPr>
          <w:color w:val="0070C0"/>
        </w:rPr>
        <w:t xml:space="preserve"> </w:t>
      </w:r>
      <w:r w:rsidRPr="00443D80">
        <w:t>Completion of high school diplomas or their recognized equivalents</w:t>
      </w:r>
      <w:r>
        <w:t xml:space="preserve">; or </w:t>
      </w:r>
      <w:r w:rsidRPr="00DA4831">
        <w:rPr>
          <w:sz w:val="24"/>
        </w:rPr>
        <w:t>2)</w:t>
      </w:r>
      <w:r>
        <w:t xml:space="preserve"> </w:t>
      </w:r>
      <w:r w:rsidRPr="00443D80">
        <w:t>Completion of post-secondary certificates, degrees, or training programs</w:t>
      </w:r>
      <w:r>
        <w:t>,</w:t>
      </w:r>
      <w:r w:rsidR="00A75EA3">
        <w:rPr>
          <w:rStyle w:val="FootnoteReference"/>
        </w:rPr>
        <w:footnoteReference w:id="5"/>
      </w:r>
    </w:p>
    <w:p w14:paraId="276164F3" w14:textId="2DDF7F71" w:rsidR="000210AB" w:rsidRDefault="000210AB" w:rsidP="00FA6089">
      <w:pPr>
        <w:pStyle w:val="Default"/>
        <w:numPr>
          <w:ilvl w:val="0"/>
          <w:numId w:val="8"/>
        </w:numPr>
        <w:spacing w:before="120" w:line="340" w:lineRule="atLeast"/>
      </w:pPr>
      <w:r w:rsidRPr="000210AB">
        <w:rPr>
          <w:rFonts w:ascii="Century Gothic" w:hAnsi="Century Gothic"/>
          <w:b/>
          <w:color w:val="595959" w:themeColor="text1" w:themeTint="A6"/>
        </w:rPr>
        <w:t xml:space="preserve">WIOA: </w:t>
      </w:r>
      <w:r w:rsidRPr="000210AB">
        <w:rPr>
          <w:rFonts w:ascii="Constantia" w:hAnsi="Constantia"/>
          <w:sz w:val="22"/>
          <w:szCs w:val="22"/>
        </w:rPr>
        <w:t xml:space="preserve">Participants enrolled in an education or training program who attain a recognized </w:t>
      </w:r>
      <w:r w:rsidR="00BF4D2C">
        <w:rPr>
          <w:rFonts w:ascii="Constantia" w:hAnsi="Constantia"/>
          <w:sz w:val="22"/>
          <w:szCs w:val="22"/>
        </w:rPr>
        <w:t>post-secondary</w:t>
      </w:r>
      <w:r w:rsidRPr="000210AB">
        <w:rPr>
          <w:rFonts w:ascii="Constantia" w:hAnsi="Constantia"/>
          <w:sz w:val="22"/>
          <w:szCs w:val="22"/>
        </w:rPr>
        <w:t xml:space="preserve"> credential or a secondary school diploma (or recognized equivalent, during participation or within one year after exit from the program</w:t>
      </w:r>
      <w:r w:rsidR="009F7BD8">
        <w:rPr>
          <w:rFonts w:ascii="Constantia" w:hAnsi="Constantia"/>
          <w:sz w:val="22"/>
          <w:szCs w:val="22"/>
        </w:rPr>
        <w:t>)</w:t>
      </w:r>
      <w:r>
        <w:rPr>
          <w:sz w:val="23"/>
          <w:szCs w:val="23"/>
        </w:rPr>
        <w:t>.</w:t>
      </w:r>
      <w:r w:rsidR="00A75EA3">
        <w:rPr>
          <w:rStyle w:val="FootnoteReference"/>
        </w:rPr>
        <w:footnoteReference w:id="6"/>
      </w:r>
    </w:p>
    <w:p w14:paraId="31F7CA83" w14:textId="67FA8BC7" w:rsidR="000210AB" w:rsidRDefault="000210AB" w:rsidP="007C400D">
      <w:pPr>
        <w:pStyle w:val="bullet-last"/>
        <w:spacing w:before="120" w:after="0" w:line="340" w:lineRule="atLeast"/>
        <w:ind w:left="720"/>
      </w:pPr>
      <w:r>
        <w:t xml:space="preserve">For WIOA, completion of a diploma </w:t>
      </w:r>
      <w:r w:rsidRPr="000210AB">
        <w:rPr>
          <w:i/>
        </w:rPr>
        <w:t>only</w:t>
      </w:r>
      <w:r>
        <w:t xml:space="preserve"> counts as credential attainment if the participant obtains employment or enter</w:t>
      </w:r>
      <w:r w:rsidR="009F7BD8">
        <w:t>s</w:t>
      </w:r>
      <w:r>
        <w:t xml:space="preserve"> a </w:t>
      </w:r>
      <w:r w:rsidR="00BF4D2C">
        <w:t>post-secondary</w:t>
      </w:r>
      <w:r>
        <w:t xml:space="preserve"> training program within </w:t>
      </w:r>
      <w:r w:rsidR="009F7BD8">
        <w:t>one</w:t>
      </w:r>
      <w:r>
        <w:t xml:space="preserve"> year after exit</w:t>
      </w:r>
      <w:r w:rsidR="009F7BD8">
        <w:t>ing adult education</w:t>
      </w:r>
      <w:r>
        <w:t>.</w:t>
      </w:r>
    </w:p>
    <w:p w14:paraId="58193687" w14:textId="42100E47" w:rsidR="0050085D" w:rsidRDefault="007C400D" w:rsidP="007C400D">
      <w:pPr>
        <w:pStyle w:val="bullet-last"/>
        <w:spacing w:before="120" w:after="0" w:line="340" w:lineRule="atLeast"/>
        <w:ind w:left="720"/>
      </w:pPr>
      <w:r>
        <w:t xml:space="preserve">Federal guidance, such as TEGL 15-10, identifies the value of </w:t>
      </w:r>
      <w:r w:rsidR="00BF4D2C">
        <w:t>post-secondary</w:t>
      </w:r>
      <w:r w:rsidR="009F7BD8">
        <w:t>,</w:t>
      </w:r>
      <w:r>
        <w:t xml:space="preserve"> industry-recognized credentials that take less than two years</w:t>
      </w:r>
      <w:r w:rsidR="009F7BD8">
        <w:t>,</w:t>
      </w:r>
      <w:r>
        <w:t xml:space="preserve"> but makes no specific recommendations as to length.</w:t>
      </w:r>
      <w:r w:rsidR="00A75EA3">
        <w:rPr>
          <w:rStyle w:val="FootnoteReference"/>
        </w:rPr>
        <w:footnoteReference w:id="7"/>
      </w:r>
      <w:r>
        <w:t xml:space="preserve"> </w:t>
      </w:r>
      <w:r w:rsidR="0050085D">
        <w:t xml:space="preserve">However, K12 </w:t>
      </w:r>
      <w:r w:rsidR="009F7BD8">
        <w:t>a</w:t>
      </w:r>
      <w:r w:rsidR="0050085D">
        <w:t xml:space="preserve">dult </w:t>
      </w:r>
      <w:r w:rsidR="009F7BD8">
        <w:t>s</w:t>
      </w:r>
      <w:r w:rsidR="0050085D">
        <w:t xml:space="preserve">chools and </w:t>
      </w:r>
      <w:r w:rsidR="009F7BD8">
        <w:t>c</w:t>
      </w:r>
      <w:r w:rsidR="0050085D">
        <w:t xml:space="preserve">ommunity </w:t>
      </w:r>
      <w:r w:rsidR="009F7BD8">
        <w:t>c</w:t>
      </w:r>
      <w:r w:rsidR="0050085D">
        <w:t>olleges have internal definitions and are subject to funding or accreditation requirements under WIOA, Title IV, Perkins, and other funding streams. These include:</w:t>
      </w:r>
    </w:p>
    <w:p w14:paraId="5B09A56D" w14:textId="1511CAB4" w:rsidR="0050085D" w:rsidRPr="000A6ED7" w:rsidRDefault="0050085D" w:rsidP="00FA6089">
      <w:pPr>
        <w:pStyle w:val="bullet-last"/>
        <w:numPr>
          <w:ilvl w:val="0"/>
          <w:numId w:val="9"/>
        </w:numPr>
        <w:spacing w:before="120" w:after="0" w:line="340" w:lineRule="atLeast"/>
        <w:rPr>
          <w:b/>
        </w:rPr>
      </w:pPr>
      <w:r w:rsidRPr="0050085D">
        <w:rPr>
          <w:rFonts w:ascii="Century Gothic" w:hAnsi="Century Gothic"/>
          <w:b/>
          <w:color w:val="595959" w:themeColor="text1" w:themeTint="A6"/>
        </w:rPr>
        <w:t>WIOA:</w:t>
      </w:r>
      <w:r w:rsidRPr="0050085D">
        <w:rPr>
          <w:b/>
        </w:rPr>
        <w:t xml:space="preserve"> </w:t>
      </w:r>
      <w:r>
        <w:t xml:space="preserve">Many colleges and K12 adult schools list their </w:t>
      </w:r>
      <w:r w:rsidR="00401B2E">
        <w:t>short-term</w:t>
      </w:r>
      <w:r>
        <w:t xml:space="preserve"> CTE programs on the Eligible Training Provider Lists</w:t>
      </w:r>
      <w:r w:rsidR="009F7BD8">
        <w:t xml:space="preserve"> (ETPL) </w:t>
      </w:r>
      <w:r>
        <w:t>maintained by local workforce boards. In practice</w:t>
      </w:r>
      <w:r w:rsidR="009F7BD8">
        <w:t>,</w:t>
      </w:r>
      <w:r>
        <w:t xml:space="preserve"> these trainings must be under 12 months in length</w:t>
      </w:r>
      <w:r w:rsidR="009F7BD8">
        <w:t xml:space="preserve"> and</w:t>
      </w:r>
      <w:r>
        <w:t xml:space="preserve"> linked to regional in-demand occupations</w:t>
      </w:r>
      <w:r w:rsidR="009F7BD8">
        <w:t xml:space="preserve">. ETPL programs must report </w:t>
      </w:r>
      <w:r w:rsidR="000A6ED7">
        <w:t>credential completion and WIOA post</w:t>
      </w:r>
      <w:r w:rsidR="009F7BD8">
        <w:t>-</w:t>
      </w:r>
      <w:r w:rsidR="000A6ED7">
        <w:t>exit outcomes.</w:t>
      </w:r>
    </w:p>
    <w:p w14:paraId="58CA8F52" w14:textId="59EC706B" w:rsidR="000A6ED7" w:rsidRPr="000A6ED7" w:rsidRDefault="000A6ED7" w:rsidP="00FA6089">
      <w:pPr>
        <w:pStyle w:val="bullet-last"/>
        <w:numPr>
          <w:ilvl w:val="0"/>
          <w:numId w:val="9"/>
        </w:numPr>
        <w:spacing w:before="120" w:after="0" w:line="340" w:lineRule="atLeast"/>
        <w:rPr>
          <w:b/>
        </w:rPr>
      </w:pPr>
      <w:r>
        <w:rPr>
          <w:rFonts w:ascii="Century Gothic" w:hAnsi="Century Gothic"/>
          <w:b/>
          <w:color w:val="595959" w:themeColor="text1" w:themeTint="A6"/>
        </w:rPr>
        <w:t>Perkins:</w:t>
      </w:r>
      <w:r>
        <w:rPr>
          <w:b/>
        </w:rPr>
        <w:t xml:space="preserve"> </w:t>
      </w:r>
      <w:r w:rsidR="009F7BD8">
        <w:t>Both c</w:t>
      </w:r>
      <w:r>
        <w:t xml:space="preserve">olleges and K12 adult schools receive </w:t>
      </w:r>
      <w:r w:rsidR="009F7BD8">
        <w:t>P</w:t>
      </w:r>
      <w:r>
        <w:t xml:space="preserve">erkins funding and are subject to </w:t>
      </w:r>
      <w:r w:rsidR="009F7BD8">
        <w:t>federal reporting</w:t>
      </w:r>
      <w:r>
        <w:t xml:space="preserve"> requirements</w:t>
      </w:r>
      <w:r w:rsidR="009F7BD8">
        <w:t>, which specify</w:t>
      </w:r>
      <w:r>
        <w:t xml:space="preserve"> at least </w:t>
      </w:r>
      <w:r w:rsidR="009F7BD8">
        <w:t>two</w:t>
      </w:r>
      <w:r>
        <w:t xml:space="preserve"> CTE courses in sequence </w:t>
      </w:r>
      <w:r w:rsidR="009F7BD8">
        <w:t xml:space="preserve">that </w:t>
      </w:r>
      <w:r>
        <w:t>includ</w:t>
      </w:r>
      <w:r w:rsidR="009F7BD8">
        <w:t>es</w:t>
      </w:r>
      <w:r>
        <w:t xml:space="preserve"> an introductory course, concentrator course, and capstone course.</w:t>
      </w:r>
      <w:r w:rsidR="009F7BD8">
        <w:t xml:space="preserve"> </w:t>
      </w:r>
    </w:p>
    <w:p w14:paraId="52EF715C" w14:textId="18269EFE" w:rsidR="00505381" w:rsidRPr="00505381" w:rsidRDefault="000A6ED7" w:rsidP="00FA6089">
      <w:pPr>
        <w:pStyle w:val="bullet-last"/>
        <w:numPr>
          <w:ilvl w:val="0"/>
          <w:numId w:val="9"/>
        </w:numPr>
        <w:spacing w:before="120" w:after="0" w:line="340" w:lineRule="atLeast"/>
        <w:rPr>
          <w:color w:val="auto"/>
        </w:rPr>
      </w:pPr>
      <w:r>
        <w:rPr>
          <w:rFonts w:ascii="Century Gothic" w:hAnsi="Century Gothic"/>
          <w:b/>
          <w:color w:val="595959" w:themeColor="text1" w:themeTint="A6"/>
        </w:rPr>
        <w:lastRenderedPageBreak/>
        <w:t>Title IV Federal Student Aid:</w:t>
      </w:r>
      <w:r>
        <w:rPr>
          <w:b/>
        </w:rPr>
        <w:t xml:space="preserve"> </w:t>
      </w:r>
      <w:r w:rsidR="00505381" w:rsidRPr="00505381">
        <w:t xml:space="preserve">As noted above, </w:t>
      </w:r>
      <w:r w:rsidR="00505381">
        <w:t xml:space="preserve">community colleges are not the only </w:t>
      </w:r>
      <w:r w:rsidR="00DA4831">
        <w:t xml:space="preserve">institutions offering </w:t>
      </w:r>
      <w:r w:rsidR="00505381">
        <w:t xml:space="preserve">post-secondary </w:t>
      </w:r>
      <w:r w:rsidR="00DA4831">
        <w:t>programs</w:t>
      </w:r>
      <w:r w:rsidR="00505381">
        <w:t xml:space="preserve"> under federal guidelines: </w:t>
      </w:r>
      <w:r w:rsidR="00DA4831">
        <w:t xml:space="preserve">CTE </w:t>
      </w:r>
      <w:r w:rsidR="00505381">
        <w:t>programs that are at least 15 weeks in length, include 600 clock hours or 16 credit hours of instruction, and lead to gainful employment</w:t>
      </w:r>
      <w:r w:rsidR="006B0DE4">
        <w:t xml:space="preserve"> can qualify as </w:t>
      </w:r>
      <w:r w:rsidR="00505381">
        <w:t>v</w:t>
      </w:r>
      <w:r w:rsidR="006B0DE4">
        <w:t xml:space="preserve">ocational </w:t>
      </w:r>
      <w:r w:rsidR="00505381">
        <w:t>p</w:t>
      </w:r>
      <w:r w:rsidR="00BF4D2C">
        <w:t>ost-secondary</w:t>
      </w:r>
      <w:r w:rsidR="00505381">
        <w:t xml:space="preserve"> i</w:t>
      </w:r>
      <w:r w:rsidR="006B0DE4">
        <w:t>nstitutions</w:t>
      </w:r>
      <w:r w:rsidR="00DF3C0A">
        <w:t xml:space="preserve"> (VPI)</w:t>
      </w:r>
      <w:r w:rsidR="006B0DE4">
        <w:t xml:space="preserve"> under Title </w:t>
      </w:r>
      <w:r w:rsidR="00505381">
        <w:t>I</w:t>
      </w:r>
      <w:r w:rsidR="006B0DE4">
        <w:t>V</w:t>
      </w:r>
      <w:r w:rsidR="00505381">
        <w:t>.</w:t>
      </w:r>
    </w:p>
    <w:p w14:paraId="3F0D517A" w14:textId="77777777" w:rsidR="00505381" w:rsidRDefault="00DF3C0A" w:rsidP="00505381">
      <w:pPr>
        <w:pStyle w:val="bullet-last"/>
        <w:spacing w:before="120" w:after="0" w:line="340" w:lineRule="atLeast"/>
        <w:ind w:left="1440"/>
        <w:rPr>
          <w:color w:val="auto"/>
        </w:rPr>
      </w:pPr>
      <w:r>
        <w:rPr>
          <w:color w:val="auto"/>
        </w:rPr>
        <w:t>Title IV includes a secondary level of program eligible for direct loan programs</w:t>
      </w:r>
      <w:r w:rsidR="00505381">
        <w:rPr>
          <w:color w:val="auto"/>
        </w:rPr>
        <w:t>:</w:t>
      </w:r>
    </w:p>
    <w:p w14:paraId="03BF489D" w14:textId="77777777" w:rsidR="00505381" w:rsidRDefault="00505381" w:rsidP="00FA6089">
      <w:pPr>
        <w:pStyle w:val="bullet-last"/>
        <w:numPr>
          <w:ilvl w:val="0"/>
          <w:numId w:val="11"/>
        </w:numPr>
        <w:spacing w:before="120" w:after="0" w:line="340" w:lineRule="atLeast"/>
        <w:rPr>
          <w:color w:val="auto"/>
        </w:rPr>
      </w:pPr>
      <w:r>
        <w:rPr>
          <w:color w:val="auto"/>
        </w:rPr>
        <w:t>a</w:t>
      </w:r>
      <w:r w:rsidR="00DF3C0A">
        <w:rPr>
          <w:color w:val="auto"/>
        </w:rPr>
        <w:t>t least 10 weeks in length</w:t>
      </w:r>
    </w:p>
    <w:p w14:paraId="77E0AD09" w14:textId="77777777" w:rsidR="00505381" w:rsidRDefault="00DF3C0A" w:rsidP="00FA6089">
      <w:pPr>
        <w:pStyle w:val="bullet-last"/>
        <w:numPr>
          <w:ilvl w:val="0"/>
          <w:numId w:val="11"/>
        </w:numPr>
        <w:spacing w:before="120" w:after="0" w:line="340" w:lineRule="atLeast"/>
        <w:rPr>
          <w:color w:val="auto"/>
        </w:rPr>
      </w:pPr>
      <w:r>
        <w:rPr>
          <w:color w:val="auto"/>
        </w:rPr>
        <w:t xml:space="preserve">include 300 clock hours of instruction </w:t>
      </w:r>
    </w:p>
    <w:p w14:paraId="1DF7243B" w14:textId="5E3CF78C" w:rsidR="00505381" w:rsidRDefault="00505381" w:rsidP="00FA6089">
      <w:pPr>
        <w:pStyle w:val="bullet-last"/>
        <w:numPr>
          <w:ilvl w:val="0"/>
          <w:numId w:val="11"/>
        </w:numPr>
        <w:spacing w:before="120" w:after="0" w:line="340" w:lineRule="atLeast"/>
        <w:rPr>
          <w:color w:val="auto"/>
        </w:rPr>
      </w:pPr>
      <w:r>
        <w:rPr>
          <w:color w:val="auto"/>
        </w:rPr>
        <w:t>lead to gainful employment</w:t>
      </w:r>
      <w:r w:rsidR="00A75EA3">
        <w:rPr>
          <w:rStyle w:val="FootnoteReference"/>
          <w:color w:val="auto"/>
        </w:rPr>
        <w:footnoteReference w:id="8"/>
      </w:r>
    </w:p>
    <w:p w14:paraId="6C4EE38C" w14:textId="769EFBDE" w:rsidR="00DF3C0A" w:rsidRDefault="00DF3C0A" w:rsidP="00505381">
      <w:pPr>
        <w:pStyle w:val="bullet-last"/>
        <w:spacing w:before="120" w:after="0" w:line="340" w:lineRule="atLeast"/>
        <w:ind w:left="1440"/>
        <w:rPr>
          <w:color w:val="auto"/>
        </w:rPr>
      </w:pPr>
      <w:r>
        <w:rPr>
          <w:color w:val="auto"/>
        </w:rPr>
        <w:t xml:space="preserve">For COE or WASC accreditation, </w:t>
      </w:r>
      <w:r w:rsidR="00505381">
        <w:rPr>
          <w:color w:val="auto"/>
        </w:rPr>
        <w:t>K12 adult schools and colleges must meet</w:t>
      </w:r>
      <w:r>
        <w:rPr>
          <w:color w:val="auto"/>
        </w:rPr>
        <w:t xml:space="preserve"> other requirements such as the maintenance of an advisory committee and a combined </w:t>
      </w:r>
      <w:r w:rsidR="00505381">
        <w:rPr>
          <w:color w:val="auto"/>
        </w:rPr>
        <w:t xml:space="preserve">job </w:t>
      </w:r>
      <w:r>
        <w:rPr>
          <w:color w:val="auto"/>
        </w:rPr>
        <w:t>placement and completion rate of at least 70%</w:t>
      </w:r>
      <w:r w:rsidR="00505381">
        <w:rPr>
          <w:color w:val="auto"/>
        </w:rPr>
        <w:t>.</w:t>
      </w:r>
    </w:p>
    <w:p w14:paraId="619B2B07" w14:textId="047FD70D" w:rsidR="00505381" w:rsidRDefault="00DA4831" w:rsidP="00FA6089">
      <w:pPr>
        <w:pStyle w:val="bullet-last"/>
        <w:numPr>
          <w:ilvl w:val="0"/>
          <w:numId w:val="16"/>
        </w:numPr>
        <w:spacing w:before="120" w:after="0" w:line="340" w:lineRule="atLeast"/>
        <w:ind w:left="1440"/>
        <w:rPr>
          <w:b/>
        </w:rPr>
      </w:pPr>
      <w:r>
        <w:rPr>
          <w:rFonts w:ascii="Century Gothic" w:hAnsi="Century Gothic"/>
          <w:b/>
          <w:color w:val="595959" w:themeColor="text1" w:themeTint="A6"/>
        </w:rPr>
        <w:t>California Community Colleges</w:t>
      </w:r>
      <w:r>
        <w:rPr>
          <w:rFonts w:ascii="Century Gothic" w:hAnsi="Century Gothic"/>
          <w:b/>
          <w:color w:val="595959" w:themeColor="text1" w:themeTint="A6"/>
        </w:rPr>
        <w:t>:</w:t>
      </w:r>
      <w:r>
        <w:rPr>
          <w:b/>
        </w:rPr>
        <w:t xml:space="preserve"> </w:t>
      </w:r>
      <w:r>
        <w:t>S</w:t>
      </w:r>
      <w:r w:rsidR="00505381">
        <w:t xml:space="preserve">hort-term certificates are defined by the Chancellor’s Office as 30 units or less, and Chancellor’s Office approved certificates of achievement may be as low as 18 units. Many colleges offer locally-approved certificates in CTE or other programs, which may be reported to MIS, however </w:t>
      </w:r>
      <w:r w:rsidR="00613EEF">
        <w:t>many colleges do not elect to do so</w:t>
      </w:r>
      <w:r w:rsidR="00505381">
        <w:t>.</w:t>
      </w:r>
      <w:r w:rsidR="00613EEF">
        <w:t xml:space="preserve"> This trend is likely to change now that the</w:t>
      </w:r>
      <w:r w:rsidR="00505381">
        <w:t xml:space="preserve"> Strong Workforce Program incentive funding formula </w:t>
      </w:r>
      <w:r w:rsidR="00613EEF">
        <w:t>will give credit for local awards. However, the funding formula does not include</w:t>
      </w:r>
      <w:r w:rsidR="00505381">
        <w:t xml:space="preserve"> credit certificate</w:t>
      </w:r>
      <w:r w:rsidR="00613EEF">
        <w:t>s</w:t>
      </w:r>
      <w:r w:rsidR="00505381">
        <w:t xml:space="preserve"> </w:t>
      </w:r>
      <w:r w:rsidR="00613EEF">
        <w:t>under</w:t>
      </w:r>
      <w:r w:rsidR="00505381">
        <w:t xml:space="preserve"> 6 units or noncredit certificate </w:t>
      </w:r>
      <w:r w:rsidR="00613EEF">
        <w:t>under</w:t>
      </w:r>
      <w:r w:rsidR="00505381">
        <w:t xml:space="preserve"> 48 contact hours.</w:t>
      </w:r>
    </w:p>
    <w:p w14:paraId="69D696F1" w14:textId="21A7E6EE" w:rsidR="00FA5343" w:rsidRPr="00862E2B" w:rsidRDefault="00FA5343" w:rsidP="00FA5343">
      <w:pPr>
        <w:pStyle w:val="body"/>
        <w:spacing w:before="240"/>
        <w:rPr>
          <w:rFonts w:ascii="Century Gothic" w:hAnsi="Century Gothic"/>
          <w:b/>
          <w:color w:val="00467F"/>
          <w:sz w:val="24"/>
        </w:rPr>
      </w:pPr>
      <w:r>
        <w:rPr>
          <w:rFonts w:ascii="Century Gothic" w:hAnsi="Century Gothic"/>
          <w:b/>
          <w:color w:val="00467F"/>
          <w:sz w:val="24"/>
        </w:rPr>
        <w:t>Capturing Third-Party Credentials</w:t>
      </w:r>
    </w:p>
    <w:p w14:paraId="5B24917A" w14:textId="2DE299BF" w:rsidR="00830105" w:rsidRPr="009A169F" w:rsidRDefault="00830105" w:rsidP="00830105">
      <w:pPr>
        <w:pStyle w:val="body"/>
        <w:spacing w:before="120" w:after="0"/>
      </w:pPr>
      <w:r>
        <w:t>In the CTE Assessment Field Committee</w:t>
      </w:r>
      <w:r>
        <w:t xml:space="preserve">, </w:t>
      </w:r>
      <w:r>
        <w:t xml:space="preserve">members saw value in </w:t>
      </w:r>
      <w:r>
        <w:t xml:space="preserve">capturing third-party industry credentials, </w:t>
      </w:r>
      <w:r>
        <w:t>but expressed</w:t>
      </w:r>
      <w:r>
        <w:t xml:space="preserve"> concerned that this could not be done in any systematic way, and did not feel that it should be part of the AEBG metrics.</w:t>
      </w:r>
      <w:r w:rsidRPr="00F94A2D">
        <w:t xml:space="preserve"> </w:t>
      </w:r>
      <w:r>
        <w:t xml:space="preserve"> This concern is </w:t>
      </w:r>
      <w:proofErr w:type="spellStart"/>
      <w:r>
        <w:t>born</w:t>
      </w:r>
      <w:proofErr w:type="spellEnd"/>
      <w:r>
        <w:t xml:space="preserve"> out by subsequent conversations with </w:t>
      </w:r>
      <w:r w:rsidRPr="00505381">
        <w:t>California Department of Education (CDE)</w:t>
      </w:r>
      <w:r>
        <w:t>,</w:t>
      </w:r>
      <w:r w:rsidRPr="00505381">
        <w:t xml:space="preserve"> the California Community Colleges Chancellor’s</w:t>
      </w:r>
      <w:r>
        <w:t xml:space="preserve"> Office, and the Workforce Data Quality Campaign.</w:t>
      </w:r>
    </w:p>
    <w:p w14:paraId="387E9FBF" w14:textId="0BC489C1" w:rsidR="00505381" w:rsidRPr="00505381" w:rsidRDefault="00505381" w:rsidP="00505381">
      <w:pPr>
        <w:pStyle w:val="bullet-last"/>
        <w:spacing w:before="120" w:line="340" w:lineRule="atLeast"/>
        <w:ind w:left="720"/>
        <w:rPr>
          <w:spacing w:val="0"/>
        </w:rPr>
      </w:pPr>
      <w:r w:rsidRPr="00505381">
        <w:rPr>
          <w:spacing w:val="0"/>
        </w:rPr>
        <w:t xml:space="preserve">Both CDE and the Chancellor’s Office have devoted significant effort to identifying high-value third-party credentials that could be included in skills gain or completion data. However, no clear list has yet emerged from this process. For example, the </w:t>
      </w:r>
      <w:r w:rsidR="00830105">
        <w:rPr>
          <w:spacing w:val="0"/>
        </w:rPr>
        <w:t>Chancellor’s Office</w:t>
      </w:r>
      <w:r w:rsidRPr="00505381">
        <w:rPr>
          <w:spacing w:val="0"/>
        </w:rPr>
        <w:t xml:space="preserve"> has found that employers value different credentials in different parts of the state. They have also noted that once a list is available, both colleges and state agencies may </w:t>
      </w:r>
      <w:proofErr w:type="gramStart"/>
      <w:r w:rsidRPr="00505381">
        <w:rPr>
          <w:spacing w:val="0"/>
        </w:rPr>
        <w:t>experience difficulty</w:t>
      </w:r>
      <w:proofErr w:type="gramEnd"/>
      <w:r w:rsidRPr="00505381">
        <w:rPr>
          <w:spacing w:val="0"/>
        </w:rPr>
        <w:t xml:space="preserve"> in matching third-party credential data with participant-level information. Often third-party providers only capture names and addresses, which can be </w:t>
      </w:r>
      <w:r w:rsidRPr="00505381">
        <w:rPr>
          <w:spacing w:val="0"/>
        </w:rPr>
        <w:lastRenderedPageBreak/>
        <w:t xml:space="preserve">insufficient to reliably determine if the certificate earners </w:t>
      </w:r>
      <w:r w:rsidR="00F3080F">
        <w:rPr>
          <w:spacing w:val="0"/>
        </w:rPr>
        <w:t>were</w:t>
      </w:r>
      <w:r w:rsidRPr="00505381">
        <w:rPr>
          <w:spacing w:val="0"/>
        </w:rPr>
        <w:t xml:space="preserve"> also community college students. Even in cases where more complete data sets are available, the Chancellor’s Office has found that considerable effort must be put into cleaning up and aligning data files. </w:t>
      </w:r>
    </w:p>
    <w:p w14:paraId="269A54DD" w14:textId="6100B153" w:rsidR="00505381" w:rsidRDefault="00505381" w:rsidP="00505381">
      <w:pPr>
        <w:pStyle w:val="bullet-last"/>
        <w:spacing w:before="120" w:line="340" w:lineRule="atLeast"/>
        <w:ind w:left="720"/>
        <w:rPr>
          <w:spacing w:val="0"/>
        </w:rPr>
      </w:pPr>
      <w:r w:rsidRPr="00505381">
        <w:rPr>
          <w:spacing w:val="0"/>
        </w:rPr>
        <w:t xml:space="preserve">CDE had developed a preliminary list of third-party credentials, based on a Florida roster, but the agency is still determining how to vet possible credentials based on California labor market demand. CDE’s efforts to finalize the list are constrained by two key factors. First, the agency is waiting for Perkins to be reauthorized, so that federal expectations for the types of third-party credential data that should be tracked are clarified. Second, the agency is currently working to establish a College and Career Readiness indicator as part of its performance system and needs to align any guidance regarding third-party credentials with this effort. </w:t>
      </w:r>
      <w:r w:rsidR="0027262C" w:rsidRPr="0027262C">
        <w:rPr>
          <w:spacing w:val="0"/>
        </w:rPr>
        <w:t>While creating an approved list of third-party credentials is a priority, it’s unlikely that CDE will have a list ready in time to inform 2017-18 reporting.</w:t>
      </w:r>
    </w:p>
    <w:p w14:paraId="729FAEE4" w14:textId="0603AC6F" w:rsidR="0027262C" w:rsidRPr="00505381" w:rsidRDefault="0027262C" w:rsidP="00505381">
      <w:pPr>
        <w:pStyle w:val="bullet-last"/>
        <w:spacing w:before="120" w:line="340" w:lineRule="atLeast"/>
        <w:ind w:left="720"/>
        <w:rPr>
          <w:spacing w:val="0"/>
        </w:rPr>
      </w:pPr>
      <w:r>
        <w:rPr>
          <w:spacing w:val="0"/>
        </w:rPr>
        <w:t>Few states have been successful in establishing lists of approved third-party credentials</w:t>
      </w:r>
      <w:r w:rsidR="00BA502D">
        <w:rPr>
          <w:spacing w:val="0"/>
        </w:rPr>
        <w:t xml:space="preserve"> or integrating participant-level attainment data into their success metrics</w:t>
      </w:r>
      <w:r>
        <w:rPr>
          <w:spacing w:val="0"/>
        </w:rPr>
        <w:t>.</w:t>
      </w:r>
      <w:r w:rsidR="00BA502D">
        <w:rPr>
          <w:spacing w:val="0"/>
        </w:rPr>
        <w:t xml:space="preserve"> Currently, most are seeking to develop criteria and review processes for determining which credentials should be recognized. States like New Jersey have developed multi-tiered processes that include analyzing labor market data, employer advisory meetings, employer surveys, and final approval by a committee that includes the state department of workforce development, the state workforce </w:t>
      </w:r>
      <w:proofErr w:type="spellStart"/>
      <w:r w:rsidR="00BA502D">
        <w:rPr>
          <w:spacing w:val="0"/>
        </w:rPr>
        <w:t>invenstment</w:t>
      </w:r>
      <w:proofErr w:type="spellEnd"/>
      <w:r w:rsidR="00BA502D">
        <w:rPr>
          <w:spacing w:val="0"/>
        </w:rPr>
        <w:t xml:space="preserve"> board, and the higher educational commission.</w:t>
      </w:r>
      <w:r w:rsidR="00BA502D">
        <w:rPr>
          <w:rStyle w:val="FootnoteReference"/>
          <w:spacing w:val="0"/>
        </w:rPr>
        <w:footnoteReference w:id="9"/>
      </w:r>
      <w:r w:rsidR="00BA502D">
        <w:rPr>
          <w:spacing w:val="0"/>
        </w:rPr>
        <w:t xml:space="preserve"> </w:t>
      </w:r>
      <w:r w:rsidR="00F3080F">
        <w:rPr>
          <w:spacing w:val="0"/>
        </w:rPr>
        <w:t>This process will need to be implemented every few years, as the list of third-party credentials is growing steadily, and the content covered by credentials may lose relevancy as labor market needs change.</w:t>
      </w:r>
      <w:r w:rsidR="00BA502D">
        <w:rPr>
          <w:spacing w:val="0"/>
        </w:rPr>
        <w:t xml:space="preserve">  </w:t>
      </w:r>
    </w:p>
    <w:p w14:paraId="09B66B7E" w14:textId="6BB87C1D" w:rsidR="00505381" w:rsidRDefault="00BA502D" w:rsidP="00505381">
      <w:pPr>
        <w:pStyle w:val="bullet-last"/>
        <w:spacing w:before="120" w:line="340" w:lineRule="atLeast"/>
        <w:ind w:left="720"/>
        <w:rPr>
          <w:spacing w:val="0"/>
        </w:rPr>
      </w:pPr>
      <w:r>
        <w:rPr>
          <w:spacing w:val="0"/>
        </w:rPr>
        <w:t>The National Student Clearinghouse is working to obtain third</w:t>
      </w:r>
      <w:r w:rsidR="00F3080F">
        <w:rPr>
          <w:spacing w:val="0"/>
        </w:rPr>
        <w:t>-</w:t>
      </w:r>
      <w:r>
        <w:rPr>
          <w:spacing w:val="0"/>
        </w:rPr>
        <w:t>party credential data from some providers such as the National Association of Manufacturing.</w:t>
      </w:r>
      <w:r w:rsidR="00F3080F">
        <w:rPr>
          <w:rStyle w:val="FootnoteReference"/>
          <w:spacing w:val="0"/>
        </w:rPr>
        <w:footnoteReference w:id="10"/>
      </w:r>
      <w:r>
        <w:rPr>
          <w:spacing w:val="0"/>
        </w:rPr>
        <w:t xml:space="preserve"> In the future, this information will become available for its subscribers. However, the Clearinghouse </w:t>
      </w:r>
      <w:r w:rsidR="00F3080F">
        <w:rPr>
          <w:spacing w:val="0"/>
        </w:rPr>
        <w:t>does include information on K12 adult school participants.</w:t>
      </w:r>
      <w:r>
        <w:rPr>
          <w:spacing w:val="0"/>
        </w:rPr>
        <w:t xml:space="preserve"> </w:t>
      </w:r>
    </w:p>
    <w:p w14:paraId="445CC44E" w14:textId="7ACDE18D" w:rsidR="009F47C1" w:rsidRDefault="009F47C1" w:rsidP="009F47C1">
      <w:pPr>
        <w:pStyle w:val="body"/>
        <w:spacing w:before="240"/>
        <w:rPr>
          <w:rFonts w:ascii="Century Gothic" w:hAnsi="Century Gothic"/>
          <w:b/>
          <w:color w:val="00467F"/>
          <w:sz w:val="24"/>
        </w:rPr>
      </w:pPr>
      <w:r>
        <w:rPr>
          <w:rFonts w:ascii="Century Gothic" w:hAnsi="Century Gothic"/>
          <w:b/>
          <w:color w:val="00467F"/>
          <w:sz w:val="24"/>
        </w:rPr>
        <w:t>Basic Skills Committee Recommendations</w:t>
      </w:r>
    </w:p>
    <w:p w14:paraId="6EECC137" w14:textId="04770D13" w:rsidR="001A1C9C" w:rsidRDefault="000E1217" w:rsidP="00505381">
      <w:pPr>
        <w:pStyle w:val="bullet-last"/>
        <w:spacing w:before="120" w:line="340" w:lineRule="atLeast"/>
        <w:ind w:left="720"/>
      </w:pPr>
      <w:r>
        <w:t xml:space="preserve">Outside of reporting </w:t>
      </w:r>
      <w:r w:rsidRPr="000E1217">
        <w:t>post-secondary certificates, degrees, or training programs</w:t>
      </w:r>
      <w:r>
        <w:t>, the only other required completion</w:t>
      </w:r>
      <w:r w:rsidR="00BF2507" w:rsidRPr="00BF2507">
        <w:t xml:space="preserve"> </w:t>
      </w:r>
      <w:r w:rsidR="00BF2507">
        <w:t>metric for AEBG is a high s</w:t>
      </w:r>
      <w:r w:rsidR="00BF2507" w:rsidRPr="00BF2507">
        <w:t xml:space="preserve">chool diploma or </w:t>
      </w:r>
      <w:r w:rsidR="00BF2507">
        <w:t>its</w:t>
      </w:r>
      <w:r w:rsidR="00BF2507" w:rsidRPr="00BF2507">
        <w:t xml:space="preserve"> recognized equivalents</w:t>
      </w:r>
      <w:r>
        <w:t>. However, i</w:t>
      </w:r>
      <w:r w:rsidR="001A1C9C">
        <w:t xml:space="preserve">n the first DAC meeting, </w:t>
      </w:r>
      <w:r w:rsidR="00CB3748">
        <w:t xml:space="preserve">and in the Basic Skills Assessment Field Committee, practitioners </w:t>
      </w:r>
      <w:r w:rsidR="001A1C9C">
        <w:t xml:space="preserve">recommended that any </w:t>
      </w:r>
      <w:r w:rsidR="00ED44C9">
        <w:t xml:space="preserve">ABE, ASE, or ESL </w:t>
      </w:r>
      <w:r w:rsidR="001A1C9C">
        <w:t xml:space="preserve">certificate issued by an adult education provider—even for completion of a course—should be counted </w:t>
      </w:r>
      <w:r w:rsidR="00ED44C9">
        <w:t>in the</w:t>
      </w:r>
      <w:r w:rsidR="001A1C9C">
        <w:t xml:space="preserve"> completion</w:t>
      </w:r>
      <w:r w:rsidR="00ED44C9">
        <w:t xml:space="preserve"> metric</w:t>
      </w:r>
      <w:r w:rsidR="001A1C9C">
        <w:t xml:space="preserve">. The committee may want to review this </w:t>
      </w:r>
      <w:r w:rsidR="001A1C9C">
        <w:lastRenderedPageBreak/>
        <w:t xml:space="preserve">recommendation, so that if a minimum threshold for courses or contact hours is applied to CTE that a similar criterion be </w:t>
      </w:r>
      <w:proofErr w:type="spellStart"/>
      <w:r w:rsidR="001A1C9C">
        <w:t>appled</w:t>
      </w:r>
      <w:proofErr w:type="spellEnd"/>
      <w:r w:rsidR="001A1C9C">
        <w:t xml:space="preserve"> to other program areas as well.</w:t>
      </w:r>
    </w:p>
    <w:p w14:paraId="7FEE475B" w14:textId="6858E296" w:rsidR="00CB3748" w:rsidRDefault="00CB3748" w:rsidP="00505381">
      <w:pPr>
        <w:pStyle w:val="bullet-last"/>
        <w:spacing w:before="120" w:line="340" w:lineRule="atLeast"/>
        <w:ind w:left="720"/>
      </w:pPr>
      <w:r>
        <w:t xml:space="preserve">Another recommendation from the Basic Skills Assessment Field Committee was that a flag be created </w:t>
      </w:r>
      <w:r w:rsidR="009F47C1">
        <w:t xml:space="preserve">in TE and MIS </w:t>
      </w:r>
      <w:r>
        <w:t xml:space="preserve">to capture participants that have completed all requirements for </w:t>
      </w:r>
      <w:r w:rsidR="009F47C1">
        <w:t>a</w:t>
      </w:r>
      <w:r>
        <w:t xml:space="preserve"> program, even if they do not receive an award. They hoped that this flag would be used for CTE programs as well.</w:t>
      </w:r>
    </w:p>
    <w:p w14:paraId="1D3CAB03" w14:textId="60AD83DE" w:rsidR="00CB3748" w:rsidRDefault="001A1C9C" w:rsidP="00505381">
      <w:pPr>
        <w:pStyle w:val="bullet-last"/>
        <w:spacing w:before="120" w:line="340" w:lineRule="atLeast"/>
        <w:ind w:left="720"/>
      </w:pPr>
      <w:r>
        <w:t xml:space="preserve">Some </w:t>
      </w:r>
      <w:r w:rsidR="0092043E">
        <w:t>committee members</w:t>
      </w:r>
      <w:r>
        <w:t xml:space="preserve"> noted that they have experienced difficulties securing information on GED/high school equivalency attainment because tests are administered by third</w:t>
      </w:r>
      <w:r w:rsidR="0092043E">
        <w:t>-</w:t>
      </w:r>
      <w:r>
        <w:t xml:space="preserve">party providers. Therefore, AEBG could consider securing a statewide data sharing agreement with these </w:t>
      </w:r>
      <w:r w:rsidR="0092043E">
        <w:t>testing entities</w:t>
      </w:r>
      <w:r>
        <w:t xml:space="preserve"> to ensure that data is captured for all ASE students.</w:t>
      </w:r>
      <w:r w:rsidR="00CB3748" w:rsidRPr="00CB3748">
        <w:t xml:space="preserve"> </w:t>
      </w:r>
    </w:p>
    <w:p w14:paraId="1F7E4DF6" w14:textId="5A0AD13E" w:rsidR="001A1C9C" w:rsidRDefault="00CB3748" w:rsidP="00505381">
      <w:pPr>
        <w:pStyle w:val="bullet-last"/>
        <w:spacing w:before="120" w:line="340" w:lineRule="atLeast"/>
        <w:ind w:left="720"/>
      </w:pPr>
      <w:r>
        <w:t xml:space="preserve">The Basic Skills Assessment Field Committee </w:t>
      </w:r>
      <w:r w:rsidRPr="00CB3748">
        <w:t>further recommended that a student should be considered a completer if they successfully transition from ESL to ABE or ASE in a K12 institution, or if they complete a degree-applicable English or math course after taking a noncredit ESL, English, or math course in a community college.</w:t>
      </w:r>
      <w:r>
        <w:t xml:space="preserve"> </w:t>
      </w:r>
    </w:p>
    <w:p w14:paraId="14EB41CB" w14:textId="54C2C537" w:rsidR="000A34E5" w:rsidRDefault="00FA5343" w:rsidP="00273248">
      <w:pPr>
        <w:pStyle w:val="Heading1"/>
        <w:spacing w:before="400"/>
      </w:pPr>
      <w:r>
        <w:t xml:space="preserve">Measurable Skills Gains </w:t>
      </w:r>
    </w:p>
    <w:p w14:paraId="2047BD59" w14:textId="77777777" w:rsidR="000A34E5" w:rsidRPr="00862E2B" w:rsidRDefault="000A34E5" w:rsidP="00273248">
      <w:pPr>
        <w:pStyle w:val="body"/>
        <w:keepNext/>
        <w:spacing w:before="240"/>
        <w:rPr>
          <w:rFonts w:ascii="Century Gothic" w:hAnsi="Century Gothic"/>
          <w:b/>
          <w:color w:val="00467F"/>
          <w:sz w:val="24"/>
        </w:rPr>
      </w:pPr>
      <w:r>
        <w:rPr>
          <w:rFonts w:ascii="Century Gothic" w:hAnsi="Century Gothic"/>
          <w:b/>
          <w:color w:val="00467F"/>
          <w:sz w:val="24"/>
        </w:rPr>
        <w:t>Potential Recommendations</w:t>
      </w:r>
    </w:p>
    <w:p w14:paraId="7B37C670" w14:textId="23A9C3FB" w:rsidR="000A34E5" w:rsidRDefault="00FA5343" w:rsidP="000A34E5">
      <w:pPr>
        <w:pStyle w:val="body"/>
      </w:pPr>
      <w:r>
        <w:t>Based on the first DAC meeting</w:t>
      </w:r>
      <w:r w:rsidR="00346E2D">
        <w:t xml:space="preserve">, the </w:t>
      </w:r>
      <w:r>
        <w:t xml:space="preserve">Basic Skills </w:t>
      </w:r>
      <w:r w:rsidR="00346E2D">
        <w:t xml:space="preserve">Assessment Field </w:t>
      </w:r>
      <w:r w:rsidR="00346E2D">
        <w:t xml:space="preserve">Committee, </w:t>
      </w:r>
      <w:r>
        <w:t xml:space="preserve">and CTE Assessment </w:t>
      </w:r>
      <w:r w:rsidR="00D858B1">
        <w:t xml:space="preserve">Field </w:t>
      </w:r>
      <w:r>
        <w:t>Committee, the following recommendations emerged for capturing measurable skills gains</w:t>
      </w:r>
      <w:r w:rsidR="000A34E5">
        <w:t>:</w:t>
      </w:r>
    </w:p>
    <w:p w14:paraId="6DA49553" w14:textId="748A405E" w:rsidR="000A34E5" w:rsidRPr="004A6EF0" w:rsidRDefault="00E2182B" w:rsidP="00FA6089">
      <w:pPr>
        <w:pStyle w:val="body"/>
        <w:numPr>
          <w:ilvl w:val="0"/>
          <w:numId w:val="4"/>
        </w:numPr>
        <w:ind w:left="1440" w:hanging="360"/>
      </w:pPr>
      <w:r>
        <w:t>F</w:t>
      </w:r>
      <w:r>
        <w:t>or WIOA Title II funded programs</w:t>
      </w:r>
      <w:r>
        <w:t>, using only</w:t>
      </w:r>
      <w:r w:rsidR="00FA5343">
        <w:t xml:space="preserve"> federally-approved assessments for pre- and post-testing </w:t>
      </w:r>
      <w:r>
        <w:t>in</w:t>
      </w:r>
      <w:r w:rsidR="00FA5343">
        <w:t xml:space="preserve"> </w:t>
      </w:r>
      <w:r w:rsidR="006C54C4">
        <w:t>ABE</w:t>
      </w:r>
      <w:r w:rsidR="00FA5343">
        <w:t xml:space="preserve">, </w:t>
      </w:r>
      <w:r w:rsidR="006C54C4">
        <w:t>ASE</w:t>
      </w:r>
      <w:r w:rsidR="00FA5343">
        <w:t xml:space="preserve">, </w:t>
      </w:r>
      <w:r w:rsidR="004E58D6">
        <w:t xml:space="preserve">and </w:t>
      </w:r>
      <w:r w:rsidR="00FA5343">
        <w:t>ESL</w:t>
      </w:r>
      <w:r w:rsidR="004E58D6">
        <w:t>.</w:t>
      </w:r>
    </w:p>
    <w:p w14:paraId="1F51A023" w14:textId="6E8A8C94" w:rsidR="00E2182B" w:rsidRDefault="00FA5343" w:rsidP="00FA6089">
      <w:pPr>
        <w:pStyle w:val="body"/>
        <w:numPr>
          <w:ilvl w:val="0"/>
          <w:numId w:val="4"/>
        </w:numPr>
        <w:ind w:left="1440" w:hanging="360"/>
      </w:pPr>
      <w:r>
        <w:t>Using course completion as an additional skills</w:t>
      </w:r>
      <w:r w:rsidR="00E2182B">
        <w:t>-</w:t>
      </w:r>
      <w:r>
        <w:t xml:space="preserve">gain measure for non-WIOA Title II programs </w:t>
      </w:r>
      <w:r w:rsidR="00E2182B">
        <w:t>in ABE, ASE, ESL, and CTE.</w:t>
      </w:r>
    </w:p>
    <w:p w14:paraId="42A43F2F" w14:textId="212F4653" w:rsidR="00FA5343" w:rsidRDefault="00643AB1" w:rsidP="00FA6089">
      <w:pPr>
        <w:pStyle w:val="body"/>
        <w:numPr>
          <w:ilvl w:val="0"/>
          <w:numId w:val="4"/>
        </w:numPr>
        <w:ind w:left="1440" w:hanging="360"/>
      </w:pPr>
      <w:r>
        <w:t xml:space="preserve">Including additional assessments </w:t>
      </w:r>
      <w:r w:rsidR="00E2182B">
        <w:t>that</w:t>
      </w:r>
      <w:r>
        <w:t xml:space="preserve"> measure skills gai</w:t>
      </w:r>
      <w:r w:rsidR="004E58D6">
        <w:t>ns beyond literacy and numeracy.</w:t>
      </w:r>
    </w:p>
    <w:p w14:paraId="2DA9B166" w14:textId="54F23AB7" w:rsidR="00E2182B" w:rsidRDefault="00E2182B" w:rsidP="00FA6089">
      <w:pPr>
        <w:pStyle w:val="body"/>
        <w:numPr>
          <w:ilvl w:val="0"/>
          <w:numId w:val="4"/>
        </w:numPr>
        <w:ind w:left="1440" w:hanging="360"/>
      </w:pPr>
      <w:r>
        <w:t>Developing an official crosswalk of K12 and community ABE, ASE, and ESL competencies</w:t>
      </w:r>
      <w:r w:rsidR="00085B7C">
        <w:t xml:space="preserve"> for AEBG</w:t>
      </w:r>
      <w:r>
        <w:t>.</w:t>
      </w:r>
    </w:p>
    <w:p w14:paraId="3A5C3A24" w14:textId="5FD6F0EE" w:rsidR="000A34E5" w:rsidRDefault="000D02C7" w:rsidP="009C6CF9">
      <w:pPr>
        <w:pStyle w:val="body"/>
        <w:spacing w:before="240" w:after="0"/>
        <w:rPr>
          <w:rFonts w:ascii="Century Gothic" w:hAnsi="Century Gothic"/>
          <w:b/>
          <w:color w:val="00467F"/>
          <w:sz w:val="24"/>
        </w:rPr>
      </w:pPr>
      <w:r>
        <w:rPr>
          <w:rFonts w:ascii="Century Gothic" w:hAnsi="Century Gothic"/>
          <w:b/>
          <w:color w:val="00467F"/>
          <w:sz w:val="24"/>
        </w:rPr>
        <w:t xml:space="preserve">WIOA </w:t>
      </w:r>
      <w:r w:rsidR="0086620E">
        <w:rPr>
          <w:rFonts w:ascii="Century Gothic" w:hAnsi="Century Gothic"/>
          <w:b/>
          <w:color w:val="00467F"/>
          <w:sz w:val="24"/>
        </w:rPr>
        <w:t xml:space="preserve">Definition of </w:t>
      </w:r>
      <w:r w:rsidR="00643AB1">
        <w:rPr>
          <w:rFonts w:ascii="Century Gothic" w:hAnsi="Century Gothic"/>
          <w:b/>
          <w:color w:val="00467F"/>
          <w:sz w:val="24"/>
        </w:rPr>
        <w:t>Measurable Skills Gains</w:t>
      </w:r>
    </w:p>
    <w:p w14:paraId="0EC7C581" w14:textId="3FBCEA8C" w:rsidR="009C6CF9" w:rsidRPr="00A71A5F" w:rsidRDefault="009C6CF9" w:rsidP="009C6CF9">
      <w:pPr>
        <w:pStyle w:val="bullet-last"/>
        <w:spacing w:before="240" w:after="0" w:line="340" w:lineRule="atLeast"/>
        <w:ind w:left="720"/>
        <w:rPr>
          <w:spacing w:val="0"/>
        </w:rPr>
      </w:pPr>
      <w:r>
        <w:rPr>
          <w:spacing w:val="0"/>
        </w:rPr>
        <w:t>WIOA include</w:t>
      </w:r>
      <w:r w:rsidR="0086620E">
        <w:rPr>
          <w:spacing w:val="0"/>
        </w:rPr>
        <w:t xml:space="preserve">s </w:t>
      </w:r>
      <w:proofErr w:type="spellStart"/>
      <w:r w:rsidR="0086620E">
        <w:rPr>
          <w:spacing w:val="0"/>
        </w:rPr>
        <w:t>measurables</w:t>
      </w:r>
      <w:proofErr w:type="spellEnd"/>
      <w:r w:rsidR="0086620E">
        <w:rPr>
          <w:spacing w:val="0"/>
        </w:rPr>
        <w:t xml:space="preserve"> skills gain</w:t>
      </w:r>
      <w:r>
        <w:rPr>
          <w:spacing w:val="0"/>
        </w:rPr>
        <w:t xml:space="preserve"> as one of the </w:t>
      </w:r>
      <w:r w:rsidR="00193DA7">
        <w:rPr>
          <w:spacing w:val="0"/>
        </w:rPr>
        <w:t>five</w:t>
      </w:r>
      <w:r>
        <w:rPr>
          <w:spacing w:val="0"/>
        </w:rPr>
        <w:t xml:space="preserve"> indicators </w:t>
      </w:r>
      <w:r w:rsidR="00193DA7">
        <w:rPr>
          <w:spacing w:val="0"/>
        </w:rPr>
        <w:t xml:space="preserve">for participants in </w:t>
      </w:r>
      <w:r w:rsidRPr="00EA37F4">
        <w:rPr>
          <w:spacing w:val="0"/>
        </w:rPr>
        <w:t>education or training program</w:t>
      </w:r>
      <w:r w:rsidR="00193DA7">
        <w:rPr>
          <w:spacing w:val="0"/>
        </w:rPr>
        <w:t>s</w:t>
      </w:r>
      <w:r w:rsidRPr="00EA37F4">
        <w:rPr>
          <w:spacing w:val="0"/>
        </w:rPr>
        <w:t xml:space="preserve"> </w:t>
      </w:r>
      <w:r>
        <w:rPr>
          <w:spacing w:val="0"/>
        </w:rPr>
        <w:t>leading</w:t>
      </w:r>
      <w:r w:rsidRPr="00EA37F4">
        <w:rPr>
          <w:spacing w:val="0"/>
        </w:rPr>
        <w:t xml:space="preserve"> to a recognized post-sec</w:t>
      </w:r>
      <w:r>
        <w:rPr>
          <w:spacing w:val="0"/>
        </w:rPr>
        <w:t xml:space="preserve">ondary credential or </w:t>
      </w:r>
      <w:r>
        <w:rPr>
          <w:spacing w:val="0"/>
        </w:rPr>
        <w:lastRenderedPageBreak/>
        <w:t xml:space="preserve">employment. Along with credential attainment, it is one of the </w:t>
      </w:r>
      <w:r w:rsidR="006C54C4">
        <w:rPr>
          <w:spacing w:val="0"/>
        </w:rPr>
        <w:t>two</w:t>
      </w:r>
      <w:r>
        <w:rPr>
          <w:spacing w:val="0"/>
        </w:rPr>
        <w:t xml:space="preserve"> performance indicators that can be counted for a participant prior to exit from services. They include:</w:t>
      </w:r>
      <w:r w:rsidRPr="00EA37F4">
        <w:rPr>
          <w:spacing w:val="0"/>
        </w:rPr>
        <w:t xml:space="preserve"> </w:t>
      </w:r>
    </w:p>
    <w:p w14:paraId="20F09E49" w14:textId="49D277D3" w:rsidR="009C6CF9" w:rsidRPr="005A72D7" w:rsidRDefault="009C6CF9" w:rsidP="00FA6089">
      <w:pPr>
        <w:pStyle w:val="numberedlist"/>
        <w:numPr>
          <w:ilvl w:val="0"/>
          <w:numId w:val="12"/>
        </w:numPr>
        <w:spacing w:before="120" w:after="0" w:line="340" w:lineRule="atLeast"/>
      </w:pPr>
      <w:r>
        <w:t>Achievement</w:t>
      </w:r>
      <w:r w:rsidRPr="005A72D7">
        <w:t xml:space="preserve"> of at least one educational functioning level of a participant who is receiving instruction below the </w:t>
      </w:r>
      <w:r>
        <w:t>post-secondary</w:t>
      </w:r>
      <w:r w:rsidRPr="005A72D7">
        <w:t xml:space="preserve"> education level</w:t>
      </w:r>
      <w:r w:rsidR="006C54C4">
        <w:t>.</w:t>
      </w:r>
    </w:p>
    <w:p w14:paraId="49F527BE" w14:textId="6845E7E6" w:rsidR="009C6CF9" w:rsidRPr="005A72D7" w:rsidRDefault="009C6CF9" w:rsidP="00FA6089">
      <w:pPr>
        <w:pStyle w:val="numberedlist"/>
        <w:numPr>
          <w:ilvl w:val="0"/>
          <w:numId w:val="12"/>
        </w:numPr>
        <w:spacing w:before="120" w:after="0" w:line="340" w:lineRule="atLeast"/>
      </w:pPr>
      <w:r>
        <w:t>A</w:t>
      </w:r>
      <w:r w:rsidRPr="005A72D7">
        <w:t>ttainment of a secondary school diploma or recognized equivalent</w:t>
      </w:r>
      <w:r w:rsidR="006C54C4">
        <w:t>.</w:t>
      </w:r>
      <w:r w:rsidRPr="005A72D7">
        <w:t xml:space="preserve"> </w:t>
      </w:r>
    </w:p>
    <w:p w14:paraId="5D0279F7" w14:textId="756494D5" w:rsidR="009C6CF9" w:rsidRPr="005A72D7" w:rsidRDefault="009C6CF9" w:rsidP="00FA6089">
      <w:pPr>
        <w:pStyle w:val="numberedlist"/>
        <w:numPr>
          <w:ilvl w:val="0"/>
          <w:numId w:val="12"/>
        </w:numPr>
        <w:spacing w:before="120" w:after="0" w:line="340" w:lineRule="atLeast"/>
      </w:pPr>
      <w:r>
        <w:t>Secondary/post-secondary</w:t>
      </w:r>
      <w:r w:rsidRPr="005A72D7">
        <w:t xml:space="preserve"> transcript or report card that shows a participant is meeting the </w:t>
      </w:r>
      <w:r>
        <w:t>s</w:t>
      </w:r>
      <w:r w:rsidRPr="005A72D7">
        <w:t>tate</w:t>
      </w:r>
      <w:r>
        <w:t>’</w:t>
      </w:r>
      <w:r w:rsidRPr="005A72D7">
        <w:t xml:space="preserve">s academic standards – 12 </w:t>
      </w:r>
      <w:r>
        <w:t xml:space="preserve">credit </w:t>
      </w:r>
      <w:r w:rsidRPr="005A72D7">
        <w:t xml:space="preserve">hours in a </w:t>
      </w:r>
      <w:r>
        <w:t>s</w:t>
      </w:r>
      <w:r w:rsidRPr="005A72D7">
        <w:t>emester if enrolled full</w:t>
      </w:r>
      <w:r>
        <w:t>-</w:t>
      </w:r>
      <w:r w:rsidRPr="005A72D7">
        <w:t xml:space="preserve">time or 12 </w:t>
      </w:r>
      <w:r>
        <w:t xml:space="preserve">credit </w:t>
      </w:r>
      <w:r w:rsidRPr="005A72D7">
        <w:t>hours over a year if enrolled part</w:t>
      </w:r>
      <w:r>
        <w:t>-</w:t>
      </w:r>
      <w:r w:rsidRPr="005A72D7">
        <w:t>time</w:t>
      </w:r>
      <w:r w:rsidR="006C54C4">
        <w:t>.</w:t>
      </w:r>
      <w:r w:rsidRPr="005A72D7">
        <w:t xml:space="preserve"> </w:t>
      </w:r>
    </w:p>
    <w:p w14:paraId="430DDFAF" w14:textId="53C72950" w:rsidR="009C6CF9" w:rsidRPr="005A72D7" w:rsidRDefault="009C6CF9" w:rsidP="00FA6089">
      <w:pPr>
        <w:pStyle w:val="numberedlist"/>
        <w:numPr>
          <w:ilvl w:val="0"/>
          <w:numId w:val="12"/>
        </w:numPr>
        <w:spacing w:before="120" w:after="0" w:line="340" w:lineRule="atLeast"/>
      </w:pPr>
      <w:r w:rsidRPr="005A72D7">
        <w:t xml:space="preserve">Satisfactory or better progress report, towards established milestones, such as completion of </w:t>
      </w:r>
      <w:r>
        <w:t>on</w:t>
      </w:r>
      <w:r w:rsidR="006C54C4">
        <w:t>-</w:t>
      </w:r>
      <w:r>
        <w:t>the</w:t>
      </w:r>
      <w:r w:rsidR="006C54C4">
        <w:t>-</w:t>
      </w:r>
      <w:r>
        <w:t xml:space="preserve">job training </w:t>
      </w:r>
      <w:r w:rsidRPr="005A72D7">
        <w:t>or completion of one year of an apprenticeship program or similar milestones, from an employer or training provider who is providing training</w:t>
      </w:r>
      <w:r w:rsidR="006C54C4">
        <w:t>.</w:t>
      </w:r>
      <w:r w:rsidRPr="005A72D7">
        <w:t xml:space="preserve"> </w:t>
      </w:r>
    </w:p>
    <w:p w14:paraId="064B0615" w14:textId="77777777" w:rsidR="009C6CF9" w:rsidRPr="005A72D7" w:rsidRDefault="009C6CF9" w:rsidP="00FA6089">
      <w:pPr>
        <w:pStyle w:val="numberedlist"/>
        <w:numPr>
          <w:ilvl w:val="0"/>
          <w:numId w:val="12"/>
        </w:numPr>
        <w:spacing w:before="120" w:after="0" w:line="340" w:lineRule="atLeast"/>
      </w:pPr>
      <w:r w:rsidRPr="005A72D7">
        <w:t xml:space="preserve">Successful passage of an exam that is required for a </w:t>
      </w:r>
      <w:proofErr w:type="gramStart"/>
      <w:r w:rsidRPr="005A72D7">
        <w:t>particular occupation</w:t>
      </w:r>
      <w:proofErr w:type="gramEnd"/>
      <w:r w:rsidRPr="005A72D7">
        <w:t xml:space="preserve"> or progress in attaining technical or occupational skills as evidenced by trade-related benchmarks such as knowledge-based exams</w:t>
      </w:r>
      <w:r>
        <w:t>.</w:t>
      </w:r>
      <w:r>
        <w:rPr>
          <w:rStyle w:val="FootnoteReference"/>
          <w:spacing w:val="0"/>
        </w:rPr>
        <w:footnoteReference w:id="11"/>
      </w:r>
    </w:p>
    <w:p w14:paraId="2CFEBE55" w14:textId="7D936D47" w:rsidR="00AF2DE7" w:rsidRDefault="00AF2DE7" w:rsidP="00AF2DE7">
      <w:pPr>
        <w:pStyle w:val="body"/>
        <w:spacing w:before="240" w:after="0"/>
      </w:pPr>
      <w:r>
        <w:t xml:space="preserve">All participants in WIOA AEFLA Title II funded programs </w:t>
      </w:r>
      <w:proofErr w:type="gramStart"/>
      <w:r>
        <w:t>are considered to be</w:t>
      </w:r>
      <w:proofErr w:type="gramEnd"/>
      <w:r>
        <w:t xml:space="preserve"> in an educational program leading to a recognized post-secondary credential or employment and are subject to the WIOA measurable skills gain indicator. For ABE, ASE, and ESL programs, this requires that the participant demonstrate achievement of at least one </w:t>
      </w:r>
      <w:r w:rsidR="006C54C4">
        <w:t>educational functioning level</w:t>
      </w:r>
      <w:r>
        <w:t xml:space="preserve"> gain in one of three ways:</w:t>
      </w:r>
    </w:p>
    <w:p w14:paraId="43D899CC" w14:textId="77777777" w:rsidR="00AF2DE7" w:rsidRDefault="00AF2DE7" w:rsidP="00FA6089">
      <w:pPr>
        <w:pStyle w:val="body"/>
        <w:numPr>
          <w:ilvl w:val="0"/>
          <w:numId w:val="2"/>
        </w:numPr>
        <w:spacing w:before="240" w:after="0"/>
      </w:pPr>
      <w:r w:rsidRPr="004A6EF0">
        <w:t>Comparison of skill gains through pre- and post-testing of participants using a National Reporting System</w:t>
      </w:r>
      <w:r>
        <w:t>-</w:t>
      </w:r>
      <w:r w:rsidRPr="004A6EF0">
        <w:t>approved testing instrument.</w:t>
      </w:r>
    </w:p>
    <w:p w14:paraId="6790F58F" w14:textId="6E8506AE" w:rsidR="00AF2DE7" w:rsidRDefault="00AF2DE7" w:rsidP="00FA6089">
      <w:pPr>
        <w:pStyle w:val="body"/>
        <w:numPr>
          <w:ilvl w:val="0"/>
          <w:numId w:val="2"/>
        </w:numPr>
        <w:spacing w:before="120" w:after="0"/>
      </w:pPr>
      <w:r w:rsidRPr="004A6EF0">
        <w:t xml:space="preserve">For participants in </w:t>
      </w:r>
      <w:r>
        <w:t xml:space="preserve">state-recognized </w:t>
      </w:r>
      <w:r w:rsidRPr="004A6EF0">
        <w:t>adult high school programs</w:t>
      </w:r>
      <w:r>
        <w:t xml:space="preserve"> only</w:t>
      </w:r>
      <w:r w:rsidRPr="004A6EF0">
        <w:t xml:space="preserve">, </w:t>
      </w:r>
      <w:r>
        <w:t>s</w:t>
      </w:r>
      <w:r w:rsidRPr="004A6EF0">
        <w:t>tates may report educational gain through the awarding of credits or Carnegie units.</w:t>
      </w:r>
    </w:p>
    <w:p w14:paraId="3F294F9B" w14:textId="77777777" w:rsidR="00AF2DE7" w:rsidRDefault="00AF2DE7" w:rsidP="00FA6089">
      <w:pPr>
        <w:pStyle w:val="body"/>
        <w:numPr>
          <w:ilvl w:val="0"/>
          <w:numId w:val="2"/>
        </w:numPr>
        <w:spacing w:before="120" w:after="0"/>
      </w:pPr>
      <w:r w:rsidRPr="004A6EF0">
        <w:t xml:space="preserve">A </w:t>
      </w:r>
      <w:r>
        <w:t>student</w:t>
      </w:r>
      <w:r w:rsidRPr="004A6EF0">
        <w:t xml:space="preserve"> who exit</w:t>
      </w:r>
      <w:r>
        <w:t>s</w:t>
      </w:r>
      <w:r w:rsidRPr="004A6EF0">
        <w:t xml:space="preserve"> a program below the post-secondary level and enroll</w:t>
      </w:r>
      <w:r>
        <w:t>s</w:t>
      </w:r>
      <w:r w:rsidRPr="004A6EF0">
        <w:t xml:space="preserve"> in post-secondary education and training.</w:t>
      </w:r>
      <w:r>
        <w:rPr>
          <w:rStyle w:val="FootnoteReference"/>
        </w:rPr>
        <w:footnoteReference w:id="12"/>
      </w:r>
    </w:p>
    <w:p w14:paraId="07350E60" w14:textId="22036CCE" w:rsidR="009C6CF9" w:rsidRDefault="009C6CF9" w:rsidP="00AF2DE7">
      <w:pPr>
        <w:pStyle w:val="bullet-last"/>
        <w:spacing w:before="240" w:after="0" w:line="340" w:lineRule="atLeast"/>
        <w:ind w:left="720"/>
        <w:rPr>
          <w:spacing w:val="0"/>
        </w:rPr>
      </w:pPr>
      <w:r>
        <w:rPr>
          <w:spacing w:val="0"/>
        </w:rPr>
        <w:t xml:space="preserve">The WIOA measurable skills gains apply to all </w:t>
      </w:r>
      <w:r w:rsidR="00D436D8">
        <w:rPr>
          <w:spacing w:val="0"/>
        </w:rPr>
        <w:t>four</w:t>
      </w:r>
      <w:r>
        <w:rPr>
          <w:spacing w:val="0"/>
        </w:rPr>
        <w:t xml:space="preserve"> WIOA program areas, however for WIOA Adult Education and Family Literacy Act programs in California</w:t>
      </w:r>
      <w:r w:rsidR="00D436D8">
        <w:rPr>
          <w:spacing w:val="0"/>
        </w:rPr>
        <w:t>,</w:t>
      </w:r>
      <w:r>
        <w:rPr>
          <w:spacing w:val="0"/>
        </w:rPr>
        <w:t xml:space="preserve"> the primary </w:t>
      </w:r>
      <w:r>
        <w:rPr>
          <w:spacing w:val="0"/>
        </w:rPr>
        <w:lastRenderedPageBreak/>
        <w:t>method of measuring skills gains has been the attainment of</w:t>
      </w:r>
      <w:r w:rsidR="00085B7C">
        <w:rPr>
          <w:spacing w:val="0"/>
        </w:rPr>
        <w:t xml:space="preserve"> NRS educational f</w:t>
      </w:r>
      <w:r>
        <w:rPr>
          <w:spacing w:val="0"/>
        </w:rPr>
        <w:t xml:space="preserve">unctioning </w:t>
      </w:r>
      <w:r w:rsidR="00085B7C">
        <w:rPr>
          <w:spacing w:val="0"/>
        </w:rPr>
        <w:t>l</w:t>
      </w:r>
      <w:r>
        <w:rPr>
          <w:spacing w:val="0"/>
        </w:rPr>
        <w:t>evels</w:t>
      </w:r>
      <w:r w:rsidR="0022782A">
        <w:rPr>
          <w:spacing w:val="0"/>
        </w:rPr>
        <w:t>, using the CASAS assessment</w:t>
      </w:r>
      <w:r>
        <w:rPr>
          <w:spacing w:val="0"/>
        </w:rPr>
        <w:t>.</w:t>
      </w:r>
    </w:p>
    <w:p w14:paraId="4BF7D98C" w14:textId="1E43534A" w:rsidR="00D436D8" w:rsidRDefault="00D436D8" w:rsidP="00AF2DE7">
      <w:pPr>
        <w:pStyle w:val="bullet-last"/>
        <w:spacing w:before="240" w:after="0" w:line="340" w:lineRule="atLeast"/>
        <w:ind w:left="720"/>
        <w:rPr>
          <w:spacing w:val="0"/>
        </w:rPr>
      </w:pPr>
      <w:r>
        <w:rPr>
          <w:spacing w:val="0"/>
        </w:rPr>
        <w:t>However, if a student completes an ABE, ASE, or ESL program and enrolls in either a K12 adult school CTE program or any community college (in either noncredit or credit coursework), CASAS does apply the final criterion for federal reporting.</w:t>
      </w:r>
    </w:p>
    <w:p w14:paraId="1DF130FA" w14:textId="37B07075" w:rsidR="00A549D4" w:rsidRDefault="00A549D4" w:rsidP="00A549D4">
      <w:pPr>
        <w:pStyle w:val="body"/>
        <w:spacing w:before="240" w:after="0"/>
        <w:rPr>
          <w:rFonts w:ascii="Century Gothic" w:hAnsi="Century Gothic"/>
          <w:b/>
          <w:color w:val="00467F"/>
          <w:sz w:val="24"/>
        </w:rPr>
      </w:pPr>
      <w:r>
        <w:rPr>
          <w:rFonts w:ascii="Century Gothic" w:hAnsi="Century Gothic"/>
          <w:b/>
          <w:color w:val="00467F"/>
          <w:sz w:val="24"/>
        </w:rPr>
        <w:t>CLASP Recommendations</w:t>
      </w:r>
    </w:p>
    <w:p w14:paraId="48F09713" w14:textId="7580EF0E" w:rsidR="00A549D4" w:rsidRDefault="007A2C29" w:rsidP="00A549D4">
      <w:pPr>
        <w:pStyle w:val="bullet-last"/>
        <w:spacing w:before="120" w:after="0" w:line="340" w:lineRule="atLeast"/>
        <w:ind w:left="720"/>
      </w:pPr>
      <w:r>
        <w:t>The Center for Law and Social Policy completed an 18</w:t>
      </w:r>
      <w:r w:rsidR="00D436D8">
        <w:t>-</w:t>
      </w:r>
      <w:r>
        <w:t xml:space="preserve">month study on the implementation of the AEBG initiative in California including extensive surveys and interviews with AEBG consortia, state leadership, and policy makers. It includes 19 recommendations for strengthening AEBG and adult education in California. As noted in the study, AEBG for </w:t>
      </w:r>
      <w:r w:rsidR="00D436D8">
        <w:t>20</w:t>
      </w:r>
      <w:r>
        <w:t>16</w:t>
      </w:r>
      <w:r w:rsidR="00D436D8">
        <w:t>-</w:t>
      </w:r>
      <w:r>
        <w:t>17 student data required that “</w:t>
      </w:r>
      <w:r w:rsidR="00D436D8">
        <w:t>m</w:t>
      </w:r>
      <w:r>
        <w:t>easurable skill</w:t>
      </w:r>
      <w:r w:rsidR="00D436D8">
        <w:t>s</w:t>
      </w:r>
      <w:r>
        <w:t xml:space="preserve"> gain must be bas</w:t>
      </w:r>
      <w:r w:rsidR="00D436D8">
        <w:t>e</w:t>
      </w:r>
      <w:r>
        <w:t>d on federally</w:t>
      </w:r>
      <w:r w:rsidR="00D436D8">
        <w:t>-</w:t>
      </w:r>
      <w:r>
        <w:t>approved assessment tools on the federal register</w:t>
      </w:r>
      <w:r w:rsidR="00D436D8">
        <w:t>.”</w:t>
      </w:r>
      <w:r>
        <w:t xml:space="preserve"> CLASP recommends that AEBG allow consortia to submit all five </w:t>
      </w:r>
      <w:r w:rsidR="00D436D8">
        <w:t>measurable skill gains</w:t>
      </w:r>
      <w:r w:rsidR="00194583">
        <w:t xml:space="preserve">, including </w:t>
      </w:r>
      <w:r w:rsidR="00D436D8">
        <w:t>credit</w:t>
      </w:r>
      <w:r w:rsidR="00194583">
        <w:t xml:space="preserve"> hours</w:t>
      </w:r>
      <w:r w:rsidR="00D436D8">
        <w:t xml:space="preserve"> and transition to post-secondary education and training, in addition to testing</w:t>
      </w:r>
      <w:r>
        <w:t>.</w:t>
      </w:r>
      <w:r w:rsidR="00A75EA3">
        <w:rPr>
          <w:rStyle w:val="FootnoteReference"/>
        </w:rPr>
        <w:footnoteReference w:id="13"/>
      </w:r>
    </w:p>
    <w:p w14:paraId="4530FB5C" w14:textId="5DD1AE29" w:rsidR="007A2C29" w:rsidRDefault="007A2C29" w:rsidP="00884663">
      <w:pPr>
        <w:pStyle w:val="body"/>
        <w:spacing w:before="240" w:after="0"/>
        <w:rPr>
          <w:rFonts w:ascii="Century Gothic" w:hAnsi="Century Gothic"/>
          <w:b/>
          <w:color w:val="00467F"/>
          <w:sz w:val="24"/>
        </w:rPr>
      </w:pPr>
      <w:r>
        <w:rPr>
          <w:rFonts w:ascii="Century Gothic" w:hAnsi="Century Gothic"/>
          <w:b/>
          <w:color w:val="00467F"/>
          <w:sz w:val="24"/>
        </w:rPr>
        <w:t>Assessment and Course Completion</w:t>
      </w:r>
      <w:r w:rsidR="00D2323E">
        <w:rPr>
          <w:rFonts w:ascii="Century Gothic" w:hAnsi="Century Gothic"/>
          <w:b/>
          <w:color w:val="00467F"/>
          <w:sz w:val="24"/>
        </w:rPr>
        <w:t xml:space="preserve"> for Basic Skills</w:t>
      </w:r>
    </w:p>
    <w:p w14:paraId="0327DD34" w14:textId="0FBF2017" w:rsidR="007A2C29" w:rsidRDefault="001A1C9C" w:rsidP="007A2C29">
      <w:pPr>
        <w:pStyle w:val="bullet-last"/>
        <w:spacing w:before="120" w:after="0" w:line="340" w:lineRule="atLeast"/>
        <w:ind w:left="720"/>
      </w:pPr>
      <w:r w:rsidRPr="001A1C9C">
        <w:t xml:space="preserve">In both K12 and community college contexts, </w:t>
      </w:r>
      <w:r>
        <w:t>Basic Skills Assessment Field C</w:t>
      </w:r>
      <w:r w:rsidRPr="001A1C9C">
        <w:t xml:space="preserve">ommittee members noted that it is critical to measure all types of skills gains. Given the challenges faced by many adult learners, gains that might </w:t>
      </w:r>
      <w:proofErr w:type="gramStart"/>
      <w:r w:rsidRPr="001A1C9C">
        <w:t>be seen as</w:t>
      </w:r>
      <w:proofErr w:type="gramEnd"/>
      <w:r w:rsidRPr="001A1C9C">
        <w:t xml:space="preserve"> less consequential in other academic contexts may represent significant progress and should be celebrated in both local practice and statewide accountability.</w:t>
      </w:r>
    </w:p>
    <w:p w14:paraId="323EC41C" w14:textId="145B76BA" w:rsidR="001A1C9C" w:rsidRDefault="001A1C9C" w:rsidP="001A1C9C">
      <w:pPr>
        <w:pStyle w:val="bullet-last"/>
        <w:spacing w:before="120" w:line="340" w:lineRule="atLeast"/>
        <w:ind w:left="720"/>
      </w:pPr>
      <w:r>
        <w:t>In K12 contexts, committee members reported relying on CASAS or other standardized assessments to track measurable skills gains in both ABE and ASE. However, the group noted that K12 adult schools track skills gains for their ASE participants in multiple ways, including pre- and post-testing with standardized instruments, tracking student progression across grade levels based on course completion, and documenting scores on subject tests that are part of the GED and high school equivalency process. Committee members recommended that K12 providers be allowed to report these additional measures of skills gains for AEBG</w:t>
      </w:r>
      <w:r w:rsidR="003637C9">
        <w:t>, as well as transition from one type of program to another (such as ESL to ABE, ABE to ASE, or any basic skills program to CTE)</w:t>
      </w:r>
      <w:r>
        <w:t xml:space="preserve">. </w:t>
      </w:r>
      <w:r w:rsidR="00CB3748">
        <w:t>However, given that this was also flagged as an appropriate measure for completion, further discussion is needed regarding the distinction between the two.</w:t>
      </w:r>
    </w:p>
    <w:p w14:paraId="58B24D73" w14:textId="5B77C8B2" w:rsidR="001A1C9C" w:rsidRDefault="001A1C9C" w:rsidP="001A1C9C">
      <w:pPr>
        <w:pStyle w:val="bullet-last"/>
        <w:spacing w:before="120" w:line="340" w:lineRule="atLeast"/>
        <w:ind w:left="720"/>
      </w:pPr>
      <w:r w:rsidRPr="001A1C9C">
        <w:lastRenderedPageBreak/>
        <w:t>Outside of Title II, community colleges focus on progression within a sequence of courses to measure skills gains. For example, some colleges use grades and “satisfactory progress” designations to indicate a successful course completion</w:t>
      </w:r>
      <w:r w:rsidR="003637C9">
        <w:t xml:space="preserve"> while</w:t>
      </w:r>
      <w:r>
        <w:t>,</w:t>
      </w:r>
      <w:r w:rsidRPr="001A1C9C">
        <w:t xml:space="preserve"> others use the </w:t>
      </w:r>
      <w:r>
        <w:t>levels-below transfer rubric (</w:t>
      </w:r>
      <w:r w:rsidRPr="001A1C9C">
        <w:t>CB21</w:t>
      </w:r>
      <w:r w:rsidR="003637C9">
        <w:t>)</w:t>
      </w:r>
      <w:r w:rsidRPr="001A1C9C">
        <w:t xml:space="preserve">. </w:t>
      </w:r>
      <w:r>
        <w:t xml:space="preserve">Committee members recommended that college providers be allowed to </w:t>
      </w:r>
      <w:r w:rsidR="003637C9">
        <w:t xml:space="preserve">either </w:t>
      </w:r>
      <w:r>
        <w:t xml:space="preserve">count course completion </w:t>
      </w:r>
      <w:r w:rsidR="003637C9">
        <w:t xml:space="preserve">or progression to the next CB21 level. As with K12 providers, colleges should receive measurable skills gain credit when students transition from one program type to another, and when students shift from </w:t>
      </w:r>
      <w:r w:rsidRPr="001A1C9C">
        <w:t xml:space="preserve">noncredit to credit </w:t>
      </w:r>
      <w:r w:rsidR="003637C9">
        <w:t>coursework</w:t>
      </w:r>
      <w:r w:rsidRPr="001A1C9C">
        <w:t>.</w:t>
      </w:r>
      <w:r w:rsidR="003637C9">
        <w:t xml:space="preserve"> </w:t>
      </w:r>
    </w:p>
    <w:p w14:paraId="23424A10" w14:textId="7BE68DDD" w:rsidR="000A34E5" w:rsidRDefault="00064F6B" w:rsidP="00064F6B">
      <w:pPr>
        <w:pStyle w:val="body"/>
        <w:spacing w:before="240" w:after="0"/>
        <w:rPr>
          <w:rFonts w:ascii="Century Gothic" w:hAnsi="Century Gothic"/>
          <w:b/>
          <w:color w:val="00467F"/>
          <w:sz w:val="24"/>
        </w:rPr>
      </w:pPr>
      <w:r>
        <w:rPr>
          <w:rFonts w:ascii="Century Gothic" w:hAnsi="Century Gothic"/>
          <w:b/>
          <w:color w:val="00467F"/>
          <w:sz w:val="24"/>
        </w:rPr>
        <w:t>Measurable Skills Gains Beyond Literacy and Numeracy</w:t>
      </w:r>
    </w:p>
    <w:p w14:paraId="2088D320" w14:textId="77777777" w:rsidR="00710C4E" w:rsidRDefault="00401B2E" w:rsidP="00A831AA">
      <w:pPr>
        <w:pStyle w:val="bullet-last"/>
        <w:spacing w:before="120" w:after="0" w:line="340" w:lineRule="atLeast"/>
        <w:ind w:left="720"/>
      </w:pPr>
      <w:r>
        <w:rPr>
          <w:rFonts w:ascii="Century Gothic" w:hAnsi="Century Gothic"/>
          <w:b/>
          <w:color w:val="548DD4" w:themeColor="text2" w:themeTint="99"/>
        </w:rPr>
        <w:t>Short-term</w:t>
      </w:r>
      <w:r w:rsidR="00064F6B" w:rsidRPr="00064F6B">
        <w:rPr>
          <w:rFonts w:ascii="Century Gothic" w:hAnsi="Century Gothic"/>
          <w:b/>
          <w:color w:val="548DD4" w:themeColor="text2" w:themeTint="99"/>
        </w:rPr>
        <w:t xml:space="preserve"> CTE:</w:t>
      </w:r>
      <w:r w:rsidR="00064F6B" w:rsidRPr="00064F6B">
        <w:rPr>
          <w:color w:val="548DD4" w:themeColor="text2" w:themeTint="99"/>
        </w:rPr>
        <w:t xml:space="preserve"> </w:t>
      </w:r>
      <w:r w:rsidR="004B13D9">
        <w:t>The</w:t>
      </w:r>
      <w:r w:rsidR="00064F6B">
        <w:t xml:space="preserve"> CTE committe</w:t>
      </w:r>
      <w:r w:rsidR="004B13D9">
        <w:t xml:space="preserve">e </w:t>
      </w:r>
      <w:r w:rsidR="00C750FE">
        <w:t>noted</w:t>
      </w:r>
      <w:r w:rsidR="004B13D9">
        <w:t xml:space="preserve"> that </w:t>
      </w:r>
      <w:r w:rsidR="00064F6B">
        <w:t>there could be more than one level of completion</w:t>
      </w:r>
      <w:r w:rsidR="00A831AA">
        <w:t xml:space="preserve"> for CTE</w:t>
      </w:r>
      <w:r w:rsidR="00064F6B">
        <w:t xml:space="preserve"> – the completion of </w:t>
      </w:r>
      <w:r w:rsidR="004B13D9">
        <w:t xml:space="preserve">larger (300 to 600 clock hour or </w:t>
      </w:r>
      <w:r w:rsidR="00C750FE">
        <w:t>more</w:t>
      </w:r>
      <w:r w:rsidR="004B13D9">
        <w:t xml:space="preserve">) </w:t>
      </w:r>
      <w:r w:rsidR="00A831AA">
        <w:t>accreditable or recognized credentials with clear labor market value</w:t>
      </w:r>
      <w:r w:rsidR="00C750FE">
        <w:t>,</w:t>
      </w:r>
      <w:r w:rsidR="00A831AA">
        <w:t xml:space="preserve"> and the completion of </w:t>
      </w:r>
      <w:r w:rsidR="00064F6B">
        <w:t>skills or courses (</w:t>
      </w:r>
      <w:r w:rsidR="00D73C8D">
        <w:t>e.g.,</w:t>
      </w:r>
      <w:r w:rsidR="00064F6B">
        <w:t xml:space="preserve"> </w:t>
      </w:r>
      <w:r w:rsidR="00A831AA">
        <w:t xml:space="preserve">competency </w:t>
      </w:r>
      <w:r w:rsidR="00064F6B">
        <w:t>certificates)</w:t>
      </w:r>
      <w:r w:rsidR="00710C4E">
        <w:t xml:space="preserve"> could be recognized as a second tier</w:t>
      </w:r>
      <w:r w:rsidR="00A831AA">
        <w:t xml:space="preserve">. </w:t>
      </w:r>
    </w:p>
    <w:p w14:paraId="3C7EF1AF" w14:textId="576388ED" w:rsidR="00D73C8D" w:rsidRDefault="00A831AA" w:rsidP="00A831AA">
      <w:pPr>
        <w:pStyle w:val="bullet-last"/>
        <w:spacing w:before="120" w:after="0" w:line="340" w:lineRule="atLeast"/>
        <w:ind w:left="720"/>
      </w:pPr>
      <w:r>
        <w:t xml:space="preserve">The fourth and fifth measurable skill gains </w:t>
      </w:r>
      <w:r w:rsidR="004B13D9">
        <w:t>under WIOA respectively</w:t>
      </w:r>
      <w:r>
        <w:t xml:space="preserve"> allow</w:t>
      </w:r>
      <w:r w:rsidR="004B13D9">
        <w:t xml:space="preserve">: </w:t>
      </w:r>
    </w:p>
    <w:p w14:paraId="2E1D11E7" w14:textId="2A4A2D3F" w:rsidR="00D73C8D" w:rsidRDefault="004B13D9" w:rsidP="00FA6089">
      <w:pPr>
        <w:pStyle w:val="bullet-last"/>
        <w:numPr>
          <w:ilvl w:val="0"/>
          <w:numId w:val="13"/>
        </w:numPr>
        <w:spacing w:before="120" w:after="0" w:line="340" w:lineRule="atLeast"/>
      </w:pPr>
      <w:r>
        <w:t>A</w:t>
      </w:r>
      <w:r w:rsidR="00A831AA">
        <w:t xml:space="preserve">lternative methods </w:t>
      </w:r>
      <w:r>
        <w:t>for reporting</w:t>
      </w:r>
      <w:r w:rsidR="00A831AA">
        <w:t xml:space="preserve"> as progress an established milestone</w:t>
      </w:r>
      <w:r>
        <w:t xml:space="preserve"> towards employment</w:t>
      </w:r>
      <w:r w:rsidR="00D73C8D">
        <w:t>.</w:t>
      </w:r>
    </w:p>
    <w:p w14:paraId="283F4E0C" w14:textId="71BEA41F" w:rsidR="00A831AA" w:rsidRDefault="00D73C8D" w:rsidP="00FA6089">
      <w:pPr>
        <w:pStyle w:val="bullet-last"/>
        <w:numPr>
          <w:ilvl w:val="0"/>
          <w:numId w:val="13"/>
        </w:numPr>
        <w:spacing w:before="120" w:after="0" w:line="340" w:lineRule="atLeast"/>
      </w:pPr>
      <w:r>
        <w:t>S</w:t>
      </w:r>
      <w:r w:rsidR="00A831AA">
        <w:t xml:space="preserve">uccessful completion of </w:t>
      </w:r>
      <w:r w:rsidR="00A831AA" w:rsidRPr="005A72D7">
        <w:t xml:space="preserve">an exam that is required for a </w:t>
      </w:r>
      <w:proofErr w:type="gramStart"/>
      <w:r w:rsidR="00A831AA" w:rsidRPr="005A72D7">
        <w:t>particular occupation</w:t>
      </w:r>
      <w:proofErr w:type="gramEnd"/>
      <w:r w:rsidR="00A831AA" w:rsidRPr="005A72D7">
        <w:t xml:space="preserve"> or progress in attaining technical or occupational skills </w:t>
      </w:r>
      <w:r w:rsidR="00A831AA">
        <w:t>through knowledge-based exams.</w:t>
      </w:r>
    </w:p>
    <w:p w14:paraId="4BDDD85E" w14:textId="5A2BD9D5" w:rsidR="00A831AA" w:rsidRDefault="00D73C8D" w:rsidP="00A831AA">
      <w:pPr>
        <w:pStyle w:val="bullet-last"/>
        <w:spacing w:before="120" w:after="0" w:line="340" w:lineRule="atLeast"/>
        <w:ind w:left="720"/>
      </w:pPr>
      <w:r>
        <w:t>TE</w:t>
      </w:r>
      <w:r w:rsidR="00A831AA">
        <w:t xml:space="preserve"> includes fields for capturing training milestones, meeting a work</w:t>
      </w:r>
      <w:r>
        <w:t>-</w:t>
      </w:r>
      <w:r w:rsidR="00A831AA">
        <w:t>based project goal</w:t>
      </w:r>
      <w:r>
        <w:t>,</w:t>
      </w:r>
      <w:r w:rsidR="00A831AA">
        <w:t xml:space="preserve"> as well as mastering course competencies. </w:t>
      </w:r>
      <w:r w:rsidR="00F425C3">
        <w:t>With additional guidance from AEBG</w:t>
      </w:r>
      <w:r>
        <w:t>,</w:t>
      </w:r>
      <w:r w:rsidR="00F425C3">
        <w:t xml:space="preserve"> these could be leveraged or adjusted to capture occupational skills gain</w:t>
      </w:r>
      <w:r>
        <w:t>s</w:t>
      </w:r>
      <w:r w:rsidR="00F425C3">
        <w:t>. Similarly</w:t>
      </w:r>
      <w:r w:rsidR="0086620E">
        <w:t>,</w:t>
      </w:r>
      <w:r w:rsidR="00F425C3">
        <w:t xml:space="preserve"> MIS capture</w:t>
      </w:r>
      <w:r>
        <w:t>s</w:t>
      </w:r>
      <w:r w:rsidR="00F425C3">
        <w:t xml:space="preserve"> course completion within a CTE pathway and completion of certificat</w:t>
      </w:r>
      <w:r>
        <w:t>e</w:t>
      </w:r>
      <w:r w:rsidR="00F425C3">
        <w:t>s.</w:t>
      </w:r>
      <w:r w:rsidR="004B13D9">
        <w:t xml:space="preserve"> To operationalize this distinction, AEBG would need to issue clear definitions for CTE occupational skills gains v</w:t>
      </w:r>
      <w:r>
        <w:t>ersus</w:t>
      </w:r>
      <w:r w:rsidR="004B13D9">
        <w:t xml:space="preserve"> course completion</w:t>
      </w:r>
      <w:r>
        <w:t>,</w:t>
      </w:r>
      <w:r w:rsidR="004B13D9">
        <w:t xml:space="preserve"> and there would need to be clarification about how these items should be coded in TE or MIS.</w:t>
      </w:r>
    </w:p>
    <w:p w14:paraId="2D01E206" w14:textId="33744CA2" w:rsidR="003450FB" w:rsidRDefault="00F425C3" w:rsidP="00F425C3">
      <w:pPr>
        <w:pStyle w:val="bullet-last"/>
        <w:spacing w:before="120" w:after="0" w:line="340" w:lineRule="atLeast"/>
        <w:ind w:left="720"/>
      </w:pPr>
      <w:r>
        <w:rPr>
          <w:rFonts w:ascii="Century Gothic" w:hAnsi="Century Gothic"/>
          <w:b/>
          <w:color w:val="548DD4" w:themeColor="text2" w:themeTint="99"/>
        </w:rPr>
        <w:t>EL Civics</w:t>
      </w:r>
      <w:r w:rsidRPr="00064F6B">
        <w:rPr>
          <w:rFonts w:ascii="Century Gothic" w:hAnsi="Century Gothic"/>
          <w:b/>
          <w:color w:val="548DD4" w:themeColor="text2" w:themeTint="99"/>
        </w:rPr>
        <w:t>:</w:t>
      </w:r>
      <w:r w:rsidRPr="00064F6B">
        <w:rPr>
          <w:color w:val="548DD4" w:themeColor="text2" w:themeTint="99"/>
        </w:rPr>
        <w:t xml:space="preserve"> </w:t>
      </w:r>
      <w:r w:rsidR="00F814FD">
        <w:t>EL C</w:t>
      </w:r>
      <w:r w:rsidR="009C41DD" w:rsidRPr="00D73C8D">
        <w:t xml:space="preserve">ivics education is funded under WIOA and AEFLA Title II to support projects that demonstrate effective practices in providing, and increasing access to, English </w:t>
      </w:r>
      <w:r w:rsidR="003450FB">
        <w:t>l</w:t>
      </w:r>
      <w:r w:rsidR="009C41DD" w:rsidRPr="00D73C8D">
        <w:t xml:space="preserve">iteracy programs linked to civics education. CDE defines two program areas for EL </w:t>
      </w:r>
      <w:r w:rsidR="00F814FD">
        <w:t>Ci</w:t>
      </w:r>
      <w:r w:rsidR="009C41DD" w:rsidRPr="00D73C8D">
        <w:t xml:space="preserve">vics: </w:t>
      </w:r>
      <w:r w:rsidR="003450FB">
        <w:t>c</w:t>
      </w:r>
      <w:r w:rsidR="009C41DD" w:rsidRPr="00D73C8D">
        <w:t xml:space="preserve">ivic </w:t>
      </w:r>
      <w:r w:rsidR="003450FB">
        <w:t>p</w:t>
      </w:r>
      <w:r w:rsidR="009C41DD" w:rsidRPr="00D73C8D">
        <w:t xml:space="preserve">articipation and </w:t>
      </w:r>
      <w:r w:rsidR="003450FB">
        <w:t>c</w:t>
      </w:r>
      <w:r w:rsidR="009C41DD" w:rsidRPr="00D73C8D">
        <w:t xml:space="preserve">itizenship </w:t>
      </w:r>
      <w:r w:rsidR="003450FB">
        <w:t>p</w:t>
      </w:r>
      <w:r w:rsidR="009C41DD" w:rsidRPr="00D73C8D">
        <w:t xml:space="preserve">reparation. </w:t>
      </w:r>
    </w:p>
    <w:p w14:paraId="1BE32A30" w14:textId="721DC39D" w:rsidR="00F425C3" w:rsidRPr="00D73C8D" w:rsidRDefault="003450FB" w:rsidP="00F425C3">
      <w:pPr>
        <w:pStyle w:val="bullet-last"/>
        <w:spacing w:before="120" w:after="0" w:line="340" w:lineRule="atLeast"/>
        <w:ind w:left="720"/>
      </w:pPr>
      <w:r w:rsidRPr="00D73C8D">
        <w:t xml:space="preserve">EL </w:t>
      </w:r>
      <w:r w:rsidR="00F814FD">
        <w:t>C</w:t>
      </w:r>
      <w:r w:rsidRPr="00D73C8D">
        <w:t xml:space="preserve">ivics skills gains are reported to CDE </w:t>
      </w:r>
      <w:r>
        <w:t xml:space="preserve">through TE and are measured </w:t>
      </w:r>
      <w:r w:rsidRPr="00D73C8D">
        <w:t xml:space="preserve">using </w:t>
      </w:r>
      <w:r>
        <w:t xml:space="preserve">the </w:t>
      </w:r>
      <w:r w:rsidR="009C41DD" w:rsidRPr="00D73C8D">
        <w:t>CASAS Civic Objectives and Additional Assessment Plans (COAAPS). COAAPS use</w:t>
      </w:r>
      <w:r w:rsidR="00D73C8D">
        <w:t>s</w:t>
      </w:r>
      <w:r w:rsidR="009C41DD" w:rsidRPr="00D73C8D">
        <w:t xml:space="preserve"> written, portfolio-based, role-playing, and interview methods to assess </w:t>
      </w:r>
      <w:proofErr w:type="spellStart"/>
      <w:r w:rsidR="00D73C8D">
        <w:t>particpants</w:t>
      </w:r>
      <w:proofErr w:type="spellEnd"/>
      <w:r w:rsidR="00D73C8D">
        <w:t>’</w:t>
      </w:r>
      <w:r w:rsidR="000E2CE6" w:rsidRPr="00D73C8D">
        <w:t xml:space="preserve"> abilit</w:t>
      </w:r>
      <w:r w:rsidR="00D73C8D">
        <w:t>ies</w:t>
      </w:r>
      <w:r w:rsidR="000E2CE6" w:rsidRPr="00D73C8D">
        <w:t xml:space="preserve"> to understand and navigate governmental, educational, workplace systems</w:t>
      </w:r>
      <w:r w:rsidR="00D73C8D">
        <w:t>,</w:t>
      </w:r>
      <w:r w:rsidR="000E2CE6" w:rsidRPr="00D73C8D">
        <w:t xml:space="preserve"> and key institutions, such as banking and health car</w:t>
      </w:r>
      <w:r w:rsidR="00EB7F9C" w:rsidRPr="00D73C8D">
        <w:t xml:space="preserve">e. </w:t>
      </w:r>
      <w:r w:rsidRPr="00D73C8D">
        <w:t>WIOA</w:t>
      </w:r>
      <w:r>
        <w:t xml:space="preserve"> Title</w:t>
      </w:r>
      <w:r w:rsidRPr="00D73C8D">
        <w:t xml:space="preserve"> II</w:t>
      </w:r>
      <w:r>
        <w:t>-</w:t>
      </w:r>
      <w:r w:rsidRPr="00D73C8D">
        <w:t xml:space="preserve">funded agencies </w:t>
      </w:r>
      <w:r w:rsidRPr="00D73C8D">
        <w:lastRenderedPageBreak/>
        <w:t xml:space="preserve">in California can receive payment points for EL </w:t>
      </w:r>
      <w:r w:rsidR="00F814FD">
        <w:t>C</w:t>
      </w:r>
      <w:r w:rsidRPr="00D73C8D">
        <w:t>ivics in addition to their payment points for ESL level gains</w:t>
      </w:r>
      <w:r>
        <w:t>, even though the assessment is not NRS-approved.</w:t>
      </w:r>
    </w:p>
    <w:p w14:paraId="7DCE0B87" w14:textId="76C0E29E" w:rsidR="007D199B" w:rsidRDefault="00D73C8D" w:rsidP="00EB7F9C">
      <w:pPr>
        <w:pStyle w:val="bullet-last"/>
        <w:spacing w:before="120" w:after="0" w:line="340" w:lineRule="atLeast"/>
        <w:ind w:left="720"/>
      </w:pPr>
      <w:r>
        <w:t xml:space="preserve">Citizenship courses </w:t>
      </w:r>
      <w:r w:rsidR="00744877">
        <w:t>are</w:t>
      </w:r>
      <w:r>
        <w:t xml:space="preserve"> identified in the c</w:t>
      </w:r>
      <w:r w:rsidR="000E2CE6">
        <w:t xml:space="preserve">ommunity </w:t>
      </w:r>
      <w:r>
        <w:t>c</w:t>
      </w:r>
      <w:r w:rsidR="000E2CE6">
        <w:t xml:space="preserve">ollege </w:t>
      </w:r>
      <w:r w:rsidR="003450FB">
        <w:t>data system</w:t>
      </w:r>
      <w:r w:rsidR="000E2CE6">
        <w:t xml:space="preserve"> </w:t>
      </w:r>
      <w:r>
        <w:t>using the Taxonomy of Program (TOP)</w:t>
      </w:r>
      <w:r w:rsidR="000E2CE6">
        <w:t xml:space="preserve"> code for </w:t>
      </w:r>
      <w:r>
        <w:t>c</w:t>
      </w:r>
      <w:r w:rsidR="000E2CE6">
        <w:t xml:space="preserve">itizenship/ESL </w:t>
      </w:r>
      <w:r w:rsidR="00F814FD">
        <w:t>C</w:t>
      </w:r>
      <w:r w:rsidR="000E2CE6">
        <w:t>ivics (</w:t>
      </w:r>
      <w:r w:rsidR="000E2CE6" w:rsidRPr="00EB7F9C">
        <w:rPr>
          <w:rFonts w:cs="Tahoma"/>
          <w:color w:val="auto"/>
          <w:szCs w:val="22"/>
        </w:rPr>
        <w:t>4930</w:t>
      </w:r>
      <w:r>
        <w:rPr>
          <w:rFonts w:cs="Tahoma"/>
          <w:color w:val="auto"/>
          <w:szCs w:val="22"/>
        </w:rPr>
        <w:t>.</w:t>
      </w:r>
      <w:r w:rsidR="000E2CE6" w:rsidRPr="00EB7F9C">
        <w:rPr>
          <w:rFonts w:cs="Tahoma"/>
          <w:color w:val="auto"/>
          <w:szCs w:val="22"/>
        </w:rPr>
        <w:t>90)</w:t>
      </w:r>
      <w:r w:rsidR="00EB7F9C">
        <w:rPr>
          <w:rFonts w:cs="Tahoma"/>
          <w:color w:val="auto"/>
          <w:szCs w:val="22"/>
        </w:rPr>
        <w:t xml:space="preserve">. </w:t>
      </w:r>
      <w:r w:rsidR="00744877">
        <w:rPr>
          <w:rFonts w:cs="Tahoma"/>
          <w:color w:val="auto"/>
          <w:szCs w:val="22"/>
        </w:rPr>
        <w:t>A measurable skills gain could be counted when a student completes this course. Or, by</w:t>
      </w:r>
      <w:r>
        <w:rPr>
          <w:rFonts w:cs="Tahoma"/>
          <w:color w:val="auto"/>
          <w:szCs w:val="22"/>
        </w:rPr>
        <w:t xml:space="preserve"> pair</w:t>
      </w:r>
      <w:r w:rsidR="00744877">
        <w:rPr>
          <w:rFonts w:cs="Tahoma"/>
          <w:color w:val="auto"/>
          <w:szCs w:val="22"/>
        </w:rPr>
        <w:t>ing</w:t>
      </w:r>
      <w:r>
        <w:rPr>
          <w:rFonts w:cs="Tahoma"/>
          <w:color w:val="auto"/>
          <w:szCs w:val="22"/>
        </w:rPr>
        <w:t xml:space="preserve"> </w:t>
      </w:r>
      <w:r w:rsidR="00744877">
        <w:rPr>
          <w:rFonts w:cs="Tahoma"/>
          <w:color w:val="auto"/>
          <w:szCs w:val="22"/>
        </w:rPr>
        <w:t xml:space="preserve">the TOP code </w:t>
      </w:r>
      <w:r>
        <w:rPr>
          <w:rFonts w:cs="Tahoma"/>
          <w:color w:val="auto"/>
          <w:szCs w:val="22"/>
        </w:rPr>
        <w:t xml:space="preserve">with the code that </w:t>
      </w:r>
      <w:r w:rsidR="003450FB">
        <w:rPr>
          <w:rFonts w:cs="Tahoma"/>
          <w:color w:val="auto"/>
          <w:szCs w:val="22"/>
        </w:rPr>
        <w:t>documents the course’s</w:t>
      </w:r>
      <w:r>
        <w:rPr>
          <w:rFonts w:cs="Tahoma"/>
          <w:color w:val="auto"/>
          <w:szCs w:val="22"/>
        </w:rPr>
        <w:t xml:space="preserve"> level</w:t>
      </w:r>
      <w:r w:rsidR="003450FB">
        <w:rPr>
          <w:rFonts w:cs="Tahoma"/>
          <w:color w:val="auto"/>
          <w:szCs w:val="22"/>
        </w:rPr>
        <w:t>-</w:t>
      </w:r>
      <w:r>
        <w:rPr>
          <w:rFonts w:cs="Tahoma"/>
          <w:color w:val="auto"/>
          <w:szCs w:val="22"/>
        </w:rPr>
        <w:t>below transfer (CB21)</w:t>
      </w:r>
      <w:r w:rsidR="00063294">
        <w:rPr>
          <w:rStyle w:val="FootnoteReference"/>
          <w:rFonts w:cs="Tahoma"/>
          <w:color w:val="auto"/>
          <w:szCs w:val="22"/>
        </w:rPr>
        <w:footnoteReference w:id="14"/>
      </w:r>
      <w:r>
        <w:rPr>
          <w:rFonts w:cs="Tahoma"/>
          <w:color w:val="auto"/>
          <w:szCs w:val="22"/>
        </w:rPr>
        <w:t>, competency gains could be documenting</w:t>
      </w:r>
      <w:r w:rsidR="003450FB">
        <w:rPr>
          <w:rFonts w:cs="Tahoma"/>
          <w:color w:val="auto"/>
          <w:szCs w:val="22"/>
        </w:rPr>
        <w:t xml:space="preserve"> when </w:t>
      </w:r>
      <w:r>
        <w:rPr>
          <w:rFonts w:cs="Tahoma"/>
          <w:color w:val="auto"/>
          <w:szCs w:val="22"/>
        </w:rPr>
        <w:t>a student progress</w:t>
      </w:r>
      <w:r w:rsidR="003450FB">
        <w:rPr>
          <w:rFonts w:cs="Tahoma"/>
          <w:color w:val="auto"/>
          <w:szCs w:val="22"/>
        </w:rPr>
        <w:t>es</w:t>
      </w:r>
      <w:r>
        <w:rPr>
          <w:rFonts w:cs="Tahoma"/>
          <w:color w:val="auto"/>
          <w:szCs w:val="22"/>
        </w:rPr>
        <w:t xml:space="preserve"> up </w:t>
      </w:r>
      <w:r w:rsidR="00744877">
        <w:rPr>
          <w:rFonts w:cs="Tahoma"/>
          <w:color w:val="auto"/>
          <w:szCs w:val="22"/>
        </w:rPr>
        <w:t>a</w:t>
      </w:r>
      <w:r>
        <w:rPr>
          <w:rFonts w:cs="Tahoma"/>
          <w:color w:val="auto"/>
          <w:szCs w:val="22"/>
        </w:rPr>
        <w:t xml:space="preserve"> level</w:t>
      </w:r>
      <w:r w:rsidR="00EB7F9C">
        <w:rPr>
          <w:rFonts w:cs="Tahoma"/>
          <w:color w:val="auto"/>
          <w:szCs w:val="22"/>
        </w:rPr>
        <w:t>.</w:t>
      </w:r>
    </w:p>
    <w:p w14:paraId="350B886A" w14:textId="37CC2A38" w:rsidR="009701B9" w:rsidRDefault="00F425C3" w:rsidP="00F425C3">
      <w:pPr>
        <w:pStyle w:val="bullet-last"/>
        <w:spacing w:before="120" w:after="0" w:line="340" w:lineRule="atLeast"/>
        <w:ind w:left="720"/>
      </w:pPr>
      <w:r>
        <w:rPr>
          <w:rFonts w:ascii="Century Gothic" w:hAnsi="Century Gothic"/>
          <w:b/>
          <w:color w:val="548DD4" w:themeColor="text2" w:themeTint="99"/>
        </w:rPr>
        <w:t>Work</w:t>
      </w:r>
      <w:r w:rsidR="00BA712A">
        <w:rPr>
          <w:rFonts w:ascii="Century Gothic" w:hAnsi="Century Gothic"/>
          <w:b/>
          <w:color w:val="548DD4" w:themeColor="text2" w:themeTint="99"/>
        </w:rPr>
        <w:t>force</w:t>
      </w:r>
      <w:r>
        <w:rPr>
          <w:rFonts w:ascii="Century Gothic" w:hAnsi="Century Gothic"/>
          <w:b/>
          <w:color w:val="548DD4" w:themeColor="text2" w:themeTint="99"/>
        </w:rPr>
        <w:t xml:space="preserve"> Preparation:</w:t>
      </w:r>
      <w:r>
        <w:t xml:space="preserve"> </w:t>
      </w:r>
      <w:r w:rsidR="00D2323E">
        <w:t xml:space="preserve">WIOA distinguishes </w:t>
      </w:r>
      <w:r w:rsidR="00BA712A" w:rsidRPr="00D858B1">
        <w:t>w</w:t>
      </w:r>
      <w:r w:rsidR="00D2323E" w:rsidRPr="00D858B1">
        <w:t xml:space="preserve">orkforce </w:t>
      </w:r>
      <w:r w:rsidR="00BA712A" w:rsidRPr="00D858B1">
        <w:t>p</w:t>
      </w:r>
      <w:r w:rsidR="00D2323E" w:rsidRPr="00D858B1">
        <w:t>reparation</w:t>
      </w:r>
      <w:r w:rsidR="0058623B" w:rsidRPr="00D858B1">
        <w:t xml:space="preserve"> from </w:t>
      </w:r>
      <w:r w:rsidR="00BA712A" w:rsidRPr="00D858B1">
        <w:t>w</w:t>
      </w:r>
      <w:r w:rsidR="0058623B" w:rsidRPr="00D858B1">
        <w:t xml:space="preserve">orkforce </w:t>
      </w:r>
      <w:r w:rsidR="00BA712A" w:rsidRPr="00D858B1">
        <w:t>t</w:t>
      </w:r>
      <w:r w:rsidR="0058623B" w:rsidRPr="00D858B1">
        <w:t xml:space="preserve">raining. Workforce </w:t>
      </w:r>
      <w:r w:rsidR="00BA712A" w:rsidRPr="00D858B1">
        <w:t>p</w:t>
      </w:r>
      <w:r w:rsidR="0058623B" w:rsidRPr="00D858B1">
        <w:t>reparation, u</w:t>
      </w:r>
      <w:r w:rsidR="0058623B">
        <w:t xml:space="preserve">nder WIOA, includes </w:t>
      </w:r>
      <w:r w:rsidR="00BA712A">
        <w:t>competencies that are also</w:t>
      </w:r>
      <w:r w:rsidR="0058623B">
        <w:t xml:space="preserve"> known as soft skills, workforce readiness, essential skills, or 21</w:t>
      </w:r>
      <w:r w:rsidR="0058623B" w:rsidRPr="0058623B">
        <w:rPr>
          <w:vertAlign w:val="superscript"/>
        </w:rPr>
        <w:t>st</w:t>
      </w:r>
      <w:r w:rsidR="0058623B">
        <w:t xml:space="preserve"> century skills. Workforce </w:t>
      </w:r>
      <w:r w:rsidR="00BA712A">
        <w:t>p</w:t>
      </w:r>
      <w:r w:rsidR="0058623B">
        <w:t xml:space="preserve">reparation certificates, including any certificate offered by a workforce development board or occupational safety certificates such as OSHA 10 or </w:t>
      </w:r>
      <w:proofErr w:type="spellStart"/>
      <w:r w:rsidR="0058623B">
        <w:t>Safeserve</w:t>
      </w:r>
      <w:proofErr w:type="spellEnd"/>
      <w:r w:rsidR="0058623B">
        <w:t xml:space="preserve">, are not considered credentials under WIOA and cannot be counted for completion for </w:t>
      </w:r>
      <w:r w:rsidR="00BA712A">
        <w:t>f</w:t>
      </w:r>
      <w:r w:rsidR="0058623B">
        <w:t xml:space="preserve">ederal reporting. </w:t>
      </w:r>
    </w:p>
    <w:p w14:paraId="2057E37D" w14:textId="7474367D" w:rsidR="00F425C3" w:rsidRDefault="0058623B" w:rsidP="00F425C3">
      <w:pPr>
        <w:pStyle w:val="bullet-last"/>
        <w:spacing w:before="120" w:after="0" w:line="340" w:lineRule="atLeast"/>
        <w:ind w:left="720"/>
        <w:rPr>
          <w:szCs w:val="22"/>
        </w:rPr>
      </w:pPr>
      <w:r>
        <w:t xml:space="preserve">Debates and conversations about </w:t>
      </w:r>
      <w:r w:rsidR="00BA712A">
        <w:t>w</w:t>
      </w:r>
      <w:r>
        <w:t xml:space="preserve">orkforce </w:t>
      </w:r>
      <w:r w:rsidR="00BA712A">
        <w:t>p</w:t>
      </w:r>
      <w:r>
        <w:t>reparation go back decades</w:t>
      </w:r>
      <w:r w:rsidR="00D2323E">
        <w:rPr>
          <w:color w:val="auto"/>
          <w:szCs w:val="22"/>
        </w:rPr>
        <w:t xml:space="preserve">, </w:t>
      </w:r>
      <w:r>
        <w:rPr>
          <w:color w:val="auto"/>
          <w:szCs w:val="22"/>
        </w:rPr>
        <w:t>dating at least from the</w:t>
      </w:r>
      <w:r w:rsidR="00D2323E">
        <w:rPr>
          <w:color w:val="auto"/>
          <w:szCs w:val="22"/>
        </w:rPr>
        <w:t xml:space="preserve"> </w:t>
      </w:r>
      <w:r w:rsidR="00D2323E" w:rsidRPr="00786625">
        <w:rPr>
          <w:color w:val="auto"/>
          <w:szCs w:val="22"/>
        </w:rPr>
        <w:t xml:space="preserve">1991 </w:t>
      </w:r>
      <w:r w:rsidR="00D2323E" w:rsidRPr="00786625">
        <w:rPr>
          <w:rFonts w:cs="Arial"/>
          <w:color w:val="auto"/>
          <w:szCs w:val="22"/>
        </w:rPr>
        <w:t>Secretary's Commission on Achieving Necessary Skill</w:t>
      </w:r>
      <w:r w:rsidR="00D2323E">
        <w:rPr>
          <w:rFonts w:cs="Arial"/>
          <w:color w:val="auto"/>
          <w:szCs w:val="22"/>
        </w:rPr>
        <w:t xml:space="preserve">s (SCANS) report entitled “What Work Needs from Schools.” </w:t>
      </w:r>
      <w:r w:rsidR="00393265">
        <w:rPr>
          <w:rFonts w:cs="Arial"/>
          <w:color w:val="auto"/>
          <w:szCs w:val="22"/>
        </w:rPr>
        <w:t>SCANS defined</w:t>
      </w:r>
      <w:r w:rsidR="00D2323E">
        <w:rPr>
          <w:rFonts w:cs="Arial"/>
          <w:color w:val="auto"/>
          <w:szCs w:val="22"/>
        </w:rPr>
        <w:t xml:space="preserve"> foundational and work</w:t>
      </w:r>
      <w:r w:rsidR="00E45888">
        <w:rPr>
          <w:rFonts w:cs="Arial"/>
          <w:color w:val="auto"/>
          <w:szCs w:val="22"/>
        </w:rPr>
        <w:t>force</w:t>
      </w:r>
      <w:r w:rsidR="00D2323E">
        <w:rPr>
          <w:rFonts w:cs="Arial"/>
          <w:color w:val="auto"/>
          <w:szCs w:val="22"/>
        </w:rPr>
        <w:t xml:space="preserve"> competencies for participation in high-performance workplaces</w:t>
      </w:r>
      <w:r w:rsidR="00D2323E">
        <w:rPr>
          <w:rStyle w:val="FootnoteReference"/>
          <w:szCs w:val="22"/>
        </w:rPr>
        <w:footnoteReference w:id="15"/>
      </w:r>
      <w:r w:rsidR="00D2323E">
        <w:rPr>
          <w:szCs w:val="22"/>
        </w:rPr>
        <w:t xml:space="preserve"> </w:t>
      </w:r>
      <w:r w:rsidR="00393265">
        <w:rPr>
          <w:szCs w:val="22"/>
        </w:rPr>
        <w:t xml:space="preserve">and remain foundational to the </w:t>
      </w:r>
      <w:r w:rsidR="00D2323E">
        <w:rPr>
          <w:szCs w:val="22"/>
        </w:rPr>
        <w:t xml:space="preserve">Department of Labor sector competency models, college and career readiness curriculum, </w:t>
      </w:r>
      <w:r w:rsidR="00E45888">
        <w:rPr>
          <w:szCs w:val="22"/>
        </w:rPr>
        <w:t>as well as</w:t>
      </w:r>
      <w:r w:rsidR="00D2323E">
        <w:rPr>
          <w:szCs w:val="22"/>
        </w:rPr>
        <w:t xml:space="preserve"> assessments by Academic Innovations (Get Focused Stay Focused), ACT, CASAS, </w:t>
      </w:r>
      <w:r w:rsidR="00393265">
        <w:rPr>
          <w:szCs w:val="22"/>
        </w:rPr>
        <w:t xml:space="preserve">and the community college </w:t>
      </w:r>
      <w:r w:rsidR="00D2323E">
        <w:rPr>
          <w:szCs w:val="22"/>
        </w:rPr>
        <w:t xml:space="preserve">New </w:t>
      </w:r>
      <w:r w:rsidR="00E45888">
        <w:rPr>
          <w:szCs w:val="22"/>
        </w:rPr>
        <w:t>World of</w:t>
      </w:r>
      <w:r w:rsidR="00D2323E">
        <w:rPr>
          <w:szCs w:val="22"/>
        </w:rPr>
        <w:t xml:space="preserve"> Work</w:t>
      </w:r>
      <w:r w:rsidR="00393265">
        <w:rPr>
          <w:szCs w:val="22"/>
        </w:rPr>
        <w:t xml:space="preserve"> curriculum and toolkits</w:t>
      </w:r>
      <w:r w:rsidR="00D2323E">
        <w:rPr>
          <w:szCs w:val="22"/>
        </w:rPr>
        <w:t>.</w:t>
      </w:r>
    </w:p>
    <w:p w14:paraId="4F70B66C" w14:textId="4BE40EC8" w:rsidR="009701B9" w:rsidRDefault="009701B9" w:rsidP="00F425C3">
      <w:pPr>
        <w:pStyle w:val="bullet-last"/>
        <w:spacing w:before="120" w:after="0" w:line="340" w:lineRule="atLeast"/>
        <w:ind w:left="720"/>
        <w:rPr>
          <w:szCs w:val="22"/>
        </w:rPr>
      </w:pPr>
      <w:r>
        <w:rPr>
          <w:szCs w:val="22"/>
        </w:rPr>
        <w:t xml:space="preserve">Tracking participation and skills gains in </w:t>
      </w:r>
      <w:r w:rsidR="00E45888">
        <w:rPr>
          <w:szCs w:val="22"/>
        </w:rPr>
        <w:t>w</w:t>
      </w:r>
      <w:r>
        <w:rPr>
          <w:szCs w:val="22"/>
        </w:rPr>
        <w:t xml:space="preserve">orkforce </w:t>
      </w:r>
      <w:r w:rsidR="00E45888">
        <w:rPr>
          <w:szCs w:val="22"/>
        </w:rPr>
        <w:t>p</w:t>
      </w:r>
      <w:r>
        <w:rPr>
          <w:szCs w:val="22"/>
        </w:rPr>
        <w:t>reparation is challenging because it includes behavioral competencies (working in teams,</w:t>
      </w:r>
      <w:r w:rsidR="00E45888">
        <w:rPr>
          <w:szCs w:val="22"/>
        </w:rPr>
        <w:t xml:space="preserve"> problem solving, communication</w:t>
      </w:r>
      <w:r>
        <w:rPr>
          <w:szCs w:val="22"/>
        </w:rPr>
        <w:t xml:space="preserve">) that require practice and are difficult to assess without direct observation by an instructor. </w:t>
      </w:r>
      <w:r w:rsidR="00E45888">
        <w:rPr>
          <w:szCs w:val="22"/>
        </w:rPr>
        <w:t xml:space="preserve">Although this approach would not capture </w:t>
      </w:r>
      <w:proofErr w:type="gramStart"/>
      <w:r w:rsidR="00E45888">
        <w:rPr>
          <w:szCs w:val="22"/>
        </w:rPr>
        <w:t>all of</w:t>
      </w:r>
      <w:proofErr w:type="gramEnd"/>
      <w:r w:rsidR="00E45888">
        <w:rPr>
          <w:szCs w:val="22"/>
        </w:rPr>
        <w:t xml:space="preserve"> the participants building workforce readiness skills, t</w:t>
      </w:r>
      <w:r>
        <w:rPr>
          <w:szCs w:val="22"/>
        </w:rPr>
        <w:t xml:space="preserve">he CTE committee </w:t>
      </w:r>
      <w:r w:rsidR="00E45888">
        <w:rPr>
          <w:szCs w:val="22"/>
        </w:rPr>
        <w:t xml:space="preserve">recommended that </w:t>
      </w:r>
      <w:r>
        <w:rPr>
          <w:szCs w:val="22"/>
        </w:rPr>
        <w:t>skills gains for workforce preparation</w:t>
      </w:r>
      <w:r w:rsidR="00E45888">
        <w:rPr>
          <w:szCs w:val="22"/>
        </w:rPr>
        <w:t xml:space="preserve"> be counted when a participant completes</w:t>
      </w:r>
      <w:r>
        <w:rPr>
          <w:szCs w:val="22"/>
        </w:rPr>
        <w:t xml:space="preserve"> a course coded as workforce preparation</w:t>
      </w:r>
      <w:r w:rsidR="00647BE7">
        <w:rPr>
          <w:szCs w:val="22"/>
        </w:rPr>
        <w:t xml:space="preserve"> or based on flags in TE</w:t>
      </w:r>
      <w:r w:rsidR="00E45888">
        <w:rPr>
          <w:szCs w:val="22"/>
        </w:rPr>
        <w:t xml:space="preserve">. </w:t>
      </w:r>
    </w:p>
    <w:p w14:paraId="4B721BFB" w14:textId="3C75FF08" w:rsidR="009701B9" w:rsidRDefault="00994C34" w:rsidP="00F425C3">
      <w:pPr>
        <w:pStyle w:val="bullet-last"/>
        <w:spacing w:before="120" w:after="0" w:line="340" w:lineRule="atLeast"/>
        <w:ind w:left="720"/>
        <w:rPr>
          <w:szCs w:val="22"/>
        </w:rPr>
      </w:pPr>
      <w:r>
        <w:rPr>
          <w:szCs w:val="22"/>
        </w:rPr>
        <w:t>W</w:t>
      </w:r>
      <w:r w:rsidR="00E45888">
        <w:rPr>
          <w:szCs w:val="22"/>
        </w:rPr>
        <w:t>orkforce preparation is one of the five program categories eligible for community college career development and college preparation (CDCP) certificates, which qualifies colleges for enhanced funding</w:t>
      </w:r>
      <w:r>
        <w:rPr>
          <w:szCs w:val="22"/>
        </w:rPr>
        <w:t>. T</w:t>
      </w:r>
      <w:r w:rsidR="00E45888">
        <w:rPr>
          <w:szCs w:val="22"/>
        </w:rPr>
        <w:t xml:space="preserve">here are two community college codes (CB11 and CB22) that could be used to flag completion of </w:t>
      </w:r>
      <w:r w:rsidR="00A33ACB">
        <w:rPr>
          <w:szCs w:val="22"/>
        </w:rPr>
        <w:t>workforce preparation</w:t>
      </w:r>
      <w:r w:rsidR="00E45888">
        <w:rPr>
          <w:szCs w:val="22"/>
        </w:rPr>
        <w:t xml:space="preserve"> classes</w:t>
      </w:r>
      <w:r w:rsidR="00A33ACB">
        <w:rPr>
          <w:szCs w:val="22"/>
        </w:rPr>
        <w:t>.</w:t>
      </w:r>
      <w:r w:rsidR="009414A9">
        <w:rPr>
          <w:szCs w:val="22"/>
        </w:rPr>
        <w:t xml:space="preserve"> </w:t>
      </w:r>
      <w:r w:rsidR="00647BE7">
        <w:rPr>
          <w:szCs w:val="22"/>
        </w:rPr>
        <w:t xml:space="preserve">TE allows coding for workforce readiness instructional programs in the program entry </w:t>
      </w:r>
      <w:r w:rsidR="00647BE7">
        <w:rPr>
          <w:szCs w:val="22"/>
        </w:rPr>
        <w:lastRenderedPageBreak/>
        <w:t>record, and the acquisition of workforce readiness skills is a milestone in the program update record.</w:t>
      </w:r>
    </w:p>
    <w:p w14:paraId="46BEB92D" w14:textId="59380303" w:rsidR="007D00FF" w:rsidRDefault="00F425C3" w:rsidP="007D00FF">
      <w:pPr>
        <w:pStyle w:val="body"/>
        <w:spacing w:before="120" w:after="0"/>
      </w:pPr>
      <w:r>
        <w:rPr>
          <w:rFonts w:ascii="Century Gothic" w:hAnsi="Century Gothic"/>
          <w:b/>
          <w:color w:val="548DD4" w:themeColor="text2" w:themeTint="99"/>
        </w:rPr>
        <w:t>Integrated Education and Training:</w:t>
      </w:r>
      <w:r>
        <w:t xml:space="preserve"> </w:t>
      </w:r>
      <w:r w:rsidR="007D00FF">
        <w:t>Under WIOA, integrated education and training (IET) is a service approach that integrates adult education and literacy concur</w:t>
      </w:r>
      <w:r w:rsidR="007D00FF">
        <w:softHyphen/>
        <w:t>rently and contextually with workforce preparation activities and workforce training for a specific occupation or occupational cluster for educational and career advancement.</w:t>
      </w:r>
      <w:r w:rsidR="007D00FF">
        <w:rPr>
          <w:rStyle w:val="FootnoteReference"/>
        </w:rPr>
        <w:footnoteReference w:id="16"/>
      </w:r>
      <w:r w:rsidR="007D00FF">
        <w:t xml:space="preserve"> IET represents a wide spectrum of services </w:t>
      </w:r>
      <w:r w:rsidR="0040679E">
        <w:t>that</w:t>
      </w:r>
      <w:r w:rsidR="007D00FF">
        <w:t xml:space="preserve"> build foundational, employability, and occupational skills simultaneously, recognizing that clustering </w:t>
      </w:r>
      <w:r w:rsidR="00414EB3">
        <w:t>basic skills with CTE and instructional support is a powerful mechanism for accelerating students into career pathways</w:t>
      </w:r>
      <w:r w:rsidR="0006678A">
        <w:t xml:space="preserve"> and </w:t>
      </w:r>
      <w:r w:rsidR="00BF4D2C">
        <w:t>post-secondary</w:t>
      </w:r>
      <w:r w:rsidR="0006678A">
        <w:t xml:space="preserve"> success.</w:t>
      </w:r>
    </w:p>
    <w:p w14:paraId="09952C86" w14:textId="589BEC95" w:rsidR="0006678A" w:rsidRDefault="007D00FF" w:rsidP="007D00FF">
      <w:pPr>
        <w:pStyle w:val="bullet-last"/>
        <w:spacing w:before="120" w:after="0" w:line="340" w:lineRule="atLeast"/>
        <w:ind w:left="720"/>
      </w:pPr>
      <w:r>
        <w:t xml:space="preserve">IET is compatible with a variety of approaches to integrated basic skills and technical education including vocational ESL (VESL), vocational adult basic education (VABE), and post-secondary contextualized basic skills or contextualized teaching and learning. It is aligned to pathway models such as </w:t>
      </w:r>
      <w:r>
        <w:rPr>
          <w:rStyle w:val="st"/>
        </w:rPr>
        <w:t xml:space="preserve">Washington’s </w:t>
      </w:r>
      <w:r w:rsidR="0040679E">
        <w:rPr>
          <w:rStyle w:val="st"/>
        </w:rPr>
        <w:t>i</w:t>
      </w:r>
      <w:r>
        <w:rPr>
          <w:rStyle w:val="st"/>
        </w:rPr>
        <w:t xml:space="preserve">ntegrated </w:t>
      </w:r>
      <w:r w:rsidR="0040679E">
        <w:rPr>
          <w:rStyle w:val="st"/>
        </w:rPr>
        <w:t>b</w:t>
      </w:r>
      <w:r>
        <w:rPr>
          <w:rStyle w:val="st"/>
        </w:rPr>
        <w:t xml:space="preserve">asic </w:t>
      </w:r>
      <w:r w:rsidR="0040679E">
        <w:rPr>
          <w:rStyle w:val="st"/>
        </w:rPr>
        <w:t>e</w:t>
      </w:r>
      <w:r>
        <w:rPr>
          <w:rStyle w:val="st"/>
        </w:rPr>
        <w:t xml:space="preserve">ducation and </w:t>
      </w:r>
      <w:r w:rsidR="0040679E">
        <w:rPr>
          <w:rStyle w:val="st"/>
        </w:rPr>
        <w:t>s</w:t>
      </w:r>
      <w:r>
        <w:rPr>
          <w:rStyle w:val="st"/>
        </w:rPr>
        <w:t xml:space="preserve">kills </w:t>
      </w:r>
      <w:r w:rsidR="0040679E">
        <w:rPr>
          <w:rStyle w:val="st"/>
        </w:rPr>
        <w:t>t</w:t>
      </w:r>
      <w:r>
        <w:rPr>
          <w:rStyle w:val="st"/>
        </w:rPr>
        <w:t xml:space="preserve">raining </w:t>
      </w:r>
      <w:r w:rsidR="0040679E">
        <w:rPr>
          <w:rStyle w:val="st"/>
        </w:rPr>
        <w:t>(</w:t>
      </w:r>
      <w:r w:rsidR="0040679E">
        <w:t>I-BEST)</w:t>
      </w:r>
      <w:r w:rsidR="0040679E">
        <w:rPr>
          <w:rStyle w:val="st"/>
        </w:rPr>
        <w:t xml:space="preserve"> program</w:t>
      </w:r>
      <w:r>
        <w:t xml:space="preserve">, which </w:t>
      </w:r>
      <w:r w:rsidR="0040679E">
        <w:t>combines</w:t>
      </w:r>
      <w:r>
        <w:t xml:space="preserve"> basic skills and technical training in the same classroom</w:t>
      </w:r>
      <w:r>
        <w:rPr>
          <w:rStyle w:val="FootnoteReference"/>
        </w:rPr>
        <w:footnoteReference w:id="17"/>
      </w:r>
      <w:r>
        <w:t xml:space="preserve"> and the California community college </w:t>
      </w:r>
      <w:r w:rsidR="0040679E">
        <w:t>c</w:t>
      </w:r>
      <w:r>
        <w:t xml:space="preserve">areer </w:t>
      </w:r>
      <w:r w:rsidR="0040679E">
        <w:t>a</w:t>
      </w:r>
      <w:r>
        <w:t xml:space="preserve">dvancement </w:t>
      </w:r>
      <w:r w:rsidR="0040679E">
        <w:t>a</w:t>
      </w:r>
      <w:r>
        <w:t xml:space="preserve">cademies (CAA) model, which includes integrated and contextualized basic skills, counseling support, cohorts, and CTE instruction leading to </w:t>
      </w:r>
      <w:r w:rsidR="0040679E">
        <w:t>a credential with</w:t>
      </w:r>
      <w:r>
        <w:t xml:space="preserve">in </w:t>
      </w:r>
      <w:r w:rsidR="0040679E">
        <w:t>one</w:t>
      </w:r>
      <w:r>
        <w:t xml:space="preserve"> semester. </w:t>
      </w:r>
    </w:p>
    <w:p w14:paraId="38EF6B7C" w14:textId="3371322B" w:rsidR="00F425C3" w:rsidRDefault="0006678A" w:rsidP="007D00FF">
      <w:pPr>
        <w:pStyle w:val="bullet-last"/>
        <w:spacing w:before="120" w:after="0" w:line="340" w:lineRule="atLeast"/>
        <w:ind w:left="720"/>
      </w:pPr>
      <w:r>
        <w:t xml:space="preserve">Neither </w:t>
      </w:r>
      <w:r w:rsidR="00D73C8D">
        <w:t>TE</w:t>
      </w:r>
      <w:r>
        <w:t xml:space="preserve"> or MIS currently have a mechanism for flagging IET programs or students enrolled in IET programs. One option is to use co-enrollment as a mechanism for capturing participati</w:t>
      </w:r>
      <w:r w:rsidR="0040679E">
        <w:t>on in</w:t>
      </w:r>
      <w:r>
        <w:t xml:space="preserve"> IET</w:t>
      </w:r>
      <w:r w:rsidR="0040679E">
        <w:t>. For example, participants that</w:t>
      </w:r>
      <w:r>
        <w:t xml:space="preserve"> enrolled in an ESL course that incorporates functional workforce skills and a CTE course </w:t>
      </w:r>
      <w:r w:rsidR="0040679E">
        <w:t>within the same year could be flagged at IET participants</w:t>
      </w:r>
      <w:r>
        <w:t xml:space="preserve">. </w:t>
      </w:r>
      <w:r w:rsidR="0040679E">
        <w:t>However,</w:t>
      </w:r>
      <w:r>
        <w:t xml:space="preserve"> there is no way to know </w:t>
      </w:r>
      <w:r w:rsidR="0040679E">
        <w:t>whether the course-taken was</w:t>
      </w:r>
      <w:r>
        <w:t xml:space="preserve"> part of an intentional and connected program model or incidental enrollment. </w:t>
      </w:r>
      <w:r w:rsidR="0040679E">
        <w:t>Another possibility would be to create an IET flag in TE. For community colleges, a</w:t>
      </w:r>
      <w:r w:rsidR="00013CB7">
        <w:t>n MIS</w:t>
      </w:r>
      <w:r w:rsidR="0040679E">
        <w:t xml:space="preserve"> data flag that was created for</w:t>
      </w:r>
      <w:r>
        <w:t xml:space="preserve"> the CAA program</w:t>
      </w:r>
      <w:r w:rsidR="0040679E">
        <w:t xml:space="preserve"> </w:t>
      </w:r>
      <w:r w:rsidR="00013CB7">
        <w:t xml:space="preserve">could be </w:t>
      </w:r>
      <w:proofErr w:type="spellStart"/>
      <w:r w:rsidR="00013CB7">
        <w:t>repurpsed</w:t>
      </w:r>
      <w:proofErr w:type="spellEnd"/>
      <w:r w:rsidR="00013CB7">
        <w:t xml:space="preserve"> </w:t>
      </w:r>
      <w:r w:rsidR="0040679E">
        <w:t>to capture IET</w:t>
      </w:r>
      <w:r w:rsidR="007D00FF">
        <w:t>.</w:t>
      </w:r>
    </w:p>
    <w:p w14:paraId="2815E7CF" w14:textId="2AD39982" w:rsidR="00E2182B" w:rsidRDefault="00F425C3" w:rsidP="004426A0">
      <w:pPr>
        <w:pStyle w:val="bullet-last"/>
        <w:spacing w:before="120" w:after="0" w:line="340" w:lineRule="atLeast"/>
        <w:ind w:left="720"/>
      </w:pPr>
      <w:r>
        <w:rPr>
          <w:rFonts w:ascii="Century Gothic" w:hAnsi="Century Gothic"/>
          <w:b/>
          <w:color w:val="548DD4" w:themeColor="text2" w:themeTint="99"/>
        </w:rPr>
        <w:t>Competency Crosswalks:</w:t>
      </w:r>
      <w:r>
        <w:t xml:space="preserve"> </w:t>
      </w:r>
      <w:r w:rsidR="00D858B1">
        <w:t>The Basic Skills Assessment Field Committee</w:t>
      </w:r>
      <w:r w:rsidR="00D858B1" w:rsidRPr="00D858B1">
        <w:t xml:space="preserve"> noted that there is a lack of clarity about how K12 adult education, noncredit, and credit programs align, and that many consortia are currently working to map overlaps and gaps. The group felt that it would be important to develop a crosswalk that uses NRS levels, the Department of Education’s Office of Career, Technical, and Adult Education (OCTAE) college and career standards, the community colleges CB21 rubric defining levels below college level coursework, and/or grade-level equivalency so that program offerings can be more readily understood</w:t>
      </w:r>
      <w:r w:rsidR="00D858B1">
        <w:t xml:space="preserve"> and participants could be placed more </w:t>
      </w:r>
      <w:r w:rsidR="00D858B1">
        <w:lastRenderedPageBreak/>
        <w:t>accurately when they transition to community college credit coursework</w:t>
      </w:r>
      <w:r w:rsidR="00E2182B">
        <w:t xml:space="preserve">. This crosswalk should leverage the </w:t>
      </w:r>
      <w:r w:rsidR="00E2182B">
        <w:t>existing crosswalk of CB21 and NRS educational functioning levels</w:t>
      </w:r>
      <w:r w:rsidR="00E2182B">
        <w:t xml:space="preserve">, as well as the more detailed competency maps that were created for the </w:t>
      </w:r>
      <w:r w:rsidR="00D858B1">
        <w:t xml:space="preserve">Common </w:t>
      </w:r>
      <w:proofErr w:type="spellStart"/>
      <w:r w:rsidR="00D858B1">
        <w:t>Assesment</w:t>
      </w:r>
      <w:proofErr w:type="spellEnd"/>
      <w:r w:rsidR="00D858B1">
        <w:t xml:space="preserve"> Initiative </w:t>
      </w:r>
      <w:r w:rsidR="00E2182B">
        <w:t>(</w:t>
      </w:r>
      <w:r w:rsidR="00D858B1">
        <w:t xml:space="preserve">which reference </w:t>
      </w:r>
      <w:r w:rsidR="00E2182B">
        <w:t>both the</w:t>
      </w:r>
      <w:r w:rsidR="00D858B1">
        <w:t xml:space="preserve"> NRS and OCTAE standards</w:t>
      </w:r>
      <w:r w:rsidR="00E2182B">
        <w:t>)</w:t>
      </w:r>
      <w:r w:rsidR="00D858B1">
        <w:t>. Having an official document</w:t>
      </w:r>
      <w:r w:rsidR="00D858B1" w:rsidRPr="00D858B1">
        <w:t xml:space="preserve"> could help to inform discussions about articulation between adult education and community college noncredit and credit offerings</w:t>
      </w:r>
      <w:r w:rsidR="004426A0">
        <w:t xml:space="preserve"> and be </w:t>
      </w:r>
      <w:r w:rsidR="00E2182B">
        <w:t>used to support multiple measures placement upon an adult education participant’s transition to community college.</w:t>
      </w:r>
    </w:p>
    <w:p w14:paraId="284B20E8" w14:textId="7FF94A16" w:rsidR="00F425C3" w:rsidRDefault="0006678A" w:rsidP="00F425C3">
      <w:pPr>
        <w:pStyle w:val="Heading1"/>
        <w:spacing w:before="400"/>
      </w:pPr>
      <w:r>
        <w:t>Employment</w:t>
      </w:r>
    </w:p>
    <w:p w14:paraId="653A252B" w14:textId="77777777" w:rsidR="00F425C3" w:rsidRPr="00862E2B" w:rsidRDefault="00F425C3" w:rsidP="00F425C3">
      <w:pPr>
        <w:pStyle w:val="body"/>
        <w:spacing w:before="240"/>
        <w:rPr>
          <w:rFonts w:ascii="Century Gothic" w:hAnsi="Century Gothic"/>
          <w:b/>
          <w:color w:val="00467F"/>
          <w:sz w:val="24"/>
        </w:rPr>
      </w:pPr>
      <w:r>
        <w:rPr>
          <w:rFonts w:ascii="Century Gothic" w:hAnsi="Century Gothic"/>
          <w:b/>
          <w:color w:val="00467F"/>
          <w:sz w:val="24"/>
        </w:rPr>
        <w:t>Potential Recommendations</w:t>
      </w:r>
    </w:p>
    <w:p w14:paraId="02B0C801" w14:textId="3937DF78" w:rsidR="00F425C3" w:rsidRDefault="00F425C3" w:rsidP="00FA6089">
      <w:pPr>
        <w:pStyle w:val="body"/>
        <w:numPr>
          <w:ilvl w:val="0"/>
          <w:numId w:val="10"/>
        </w:numPr>
      </w:pPr>
      <w:r>
        <w:t xml:space="preserve">Augmenting matches to the state wage file with a state sponsored </w:t>
      </w:r>
      <w:r w:rsidR="00D858B1">
        <w:t>s</w:t>
      </w:r>
      <w:r>
        <w:t>urvey</w:t>
      </w:r>
    </w:p>
    <w:p w14:paraId="170FE8E7" w14:textId="612E7813" w:rsidR="00F425C3" w:rsidRPr="00862E2B" w:rsidRDefault="00F425C3" w:rsidP="00F425C3">
      <w:pPr>
        <w:pStyle w:val="body"/>
        <w:spacing w:before="240"/>
        <w:rPr>
          <w:rFonts w:ascii="Century Gothic" w:hAnsi="Century Gothic"/>
          <w:b/>
          <w:color w:val="00467F"/>
          <w:sz w:val="24"/>
        </w:rPr>
      </w:pPr>
      <w:r>
        <w:rPr>
          <w:rFonts w:ascii="Century Gothic" w:hAnsi="Century Gothic"/>
          <w:b/>
          <w:color w:val="00467F"/>
          <w:sz w:val="24"/>
        </w:rPr>
        <w:t>Using Survey Data to Track Employment Outcomes</w:t>
      </w:r>
    </w:p>
    <w:p w14:paraId="040485BC" w14:textId="6A5B26DB" w:rsidR="00D858B1" w:rsidRDefault="00D858B1" w:rsidP="00F425C3">
      <w:pPr>
        <w:pStyle w:val="body"/>
      </w:pPr>
      <w:r>
        <w:t xml:space="preserve">Throughout the committee discussions, </w:t>
      </w:r>
      <w:proofErr w:type="spellStart"/>
      <w:r>
        <w:t>practioners</w:t>
      </w:r>
      <w:proofErr w:type="spellEnd"/>
      <w:r>
        <w:t xml:space="preserve"> have referenced the importance of employment and earnings data to evaluate the efficacy of adult education programs. However, the proposed method for tracking these outcomes—match</w:t>
      </w:r>
      <w:r w:rsidR="003B44A8">
        <w:t>ing</w:t>
      </w:r>
      <w:r>
        <w:t xml:space="preserve"> participant records to the Employment Development Department’s Unemployment Insurance wage file based on social security numbers—is likely to return results for only a fraction of adult education participants. Therefore, AEBG may want to consider augmenting this employment and earnings information with data captured through other means, such as a survey. </w:t>
      </w:r>
    </w:p>
    <w:p w14:paraId="5866AFDF" w14:textId="03B26676" w:rsidR="00F425C3" w:rsidRDefault="00D858B1" w:rsidP="00F425C3">
      <w:pPr>
        <w:pStyle w:val="body"/>
      </w:pPr>
      <w:r>
        <w:t>Historically, CASAS conducted surveys of former participants to capture post-exit outcomes, securing response rates of between 30-50%. In the community colleges, the Career and Technical Education Outcomes Survey</w:t>
      </w:r>
      <w:r w:rsidR="003B44A8">
        <w:t xml:space="preserve"> </w:t>
      </w:r>
      <w:r w:rsidR="00A3059C">
        <w:t xml:space="preserve">(CTEOS) </w:t>
      </w:r>
      <w:r w:rsidR="003B44A8">
        <w:t xml:space="preserve">captures employment and earnings data for former CTE students at all community colleges, with a response rate of between 20-30%. While these response rates are below federal standards, they are </w:t>
      </w:r>
      <w:r w:rsidR="00A72477">
        <w:t>on target for other surveys</w:t>
      </w:r>
      <w:r w:rsidR="00A3059C">
        <w:t>.</w:t>
      </w:r>
      <w:r w:rsidR="00A72477">
        <w:rPr>
          <w:rStyle w:val="FootnoteReference"/>
        </w:rPr>
        <w:footnoteReference w:id="18"/>
      </w:r>
      <w:r w:rsidR="003B44A8">
        <w:t xml:space="preserve"> </w:t>
      </w:r>
      <w:r w:rsidR="00A3059C">
        <w:t xml:space="preserve">Furthermore, the </w:t>
      </w:r>
      <w:r w:rsidR="00A3059C" w:rsidRPr="00A3059C">
        <w:t xml:space="preserve">California State Approving Agency for Veterans Education (CSAAVE) </w:t>
      </w:r>
      <w:r w:rsidR="00A3059C">
        <w:t xml:space="preserve">accepts the results from CTEOS to certify employment outcomes for veterans and a metric from the survey is included in the Strong Workforce Program incentive funding formula. </w:t>
      </w:r>
      <w:r w:rsidR="003B44A8">
        <w:t>Given that data may only be available for 10% of adult education students using the wage file match, a survey might help to provide a more well-rounded picture of these critical outcomes</w:t>
      </w:r>
      <w:r w:rsidR="00A3059C">
        <w:t>, and be worth underwriting by AEBG</w:t>
      </w:r>
      <w:r w:rsidR="003B44A8">
        <w:t>.</w:t>
      </w:r>
    </w:p>
    <w:p w14:paraId="429DE213" w14:textId="77777777" w:rsidR="00F425C3" w:rsidRPr="000067EA" w:rsidRDefault="00F425C3" w:rsidP="00F425C3">
      <w:pPr>
        <w:pStyle w:val="bullet-last"/>
        <w:spacing w:after="100" w:line="340" w:lineRule="atLeast"/>
        <w:sectPr w:rsidR="00F425C3" w:rsidRPr="000067EA">
          <w:headerReference w:type="first" r:id="rId16"/>
          <w:footerReference w:type="first" r:id="rId17"/>
          <w:pgSz w:w="12240" w:h="15840"/>
          <w:pgMar w:top="1152" w:right="1440" w:bottom="1080" w:left="1440" w:header="720" w:footer="720" w:gutter="0"/>
          <w:pgNumType w:start="1"/>
          <w:cols w:space="720" w:equalWidth="0">
            <w:col w:w="9360" w:space="450"/>
          </w:cols>
          <w:noEndnote/>
          <w:titlePg/>
        </w:sectPr>
      </w:pPr>
    </w:p>
    <w:p w14:paraId="2D1A13C4" w14:textId="77777777" w:rsidR="00B84A55" w:rsidRDefault="00B84A55" w:rsidP="00B84A55">
      <w:pPr>
        <w:pStyle w:val="endnotetextet"/>
        <w:numPr>
          <w:ilvl w:val="0"/>
          <w:numId w:val="0"/>
        </w:numPr>
        <w:tabs>
          <w:tab w:val="clear" w:pos="20"/>
          <w:tab w:val="clear" w:pos="100"/>
        </w:tabs>
      </w:pPr>
      <w:r>
        <w:lastRenderedPageBreak/>
        <w:t xml:space="preserve"> </w:t>
      </w:r>
    </w:p>
    <w:p w14:paraId="5C7500B9" w14:textId="77777777" w:rsidR="00B84A55" w:rsidRDefault="00B84A55">
      <w:pPr>
        <w:rPr>
          <w:color w:val="auto"/>
        </w:rPr>
      </w:pPr>
    </w:p>
    <w:sectPr w:rsidR="00B84A55" w:rsidSect="00F3462A">
      <w:headerReference w:type="even" r:id="rId18"/>
      <w:headerReference w:type="default" r:id="rId19"/>
      <w:footerReference w:type="default" r:id="rId20"/>
      <w:pgSz w:w="12240" w:h="15840"/>
      <w:pgMar w:top="720" w:right="720" w:bottom="72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4A16BD" w14:textId="77777777" w:rsidR="00FA6089" w:rsidRDefault="00FA6089">
      <w:r>
        <w:separator/>
      </w:r>
    </w:p>
  </w:endnote>
  <w:endnote w:type="continuationSeparator" w:id="0">
    <w:p w14:paraId="3EDB7B22" w14:textId="77777777" w:rsidR="00FA6089" w:rsidRDefault="00FA60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Arial">
    <w:panose1 w:val="020B0604020202020204"/>
    <w:charset w:val="00"/>
    <w:family w:val="swiss"/>
    <w:pitch w:val="variable"/>
    <w:sig w:usb0="E0002EFF" w:usb1="C0007843" w:usb2="00000009" w:usb3="00000000" w:csb0="000001FF" w:csb1="00000000"/>
  </w:font>
  <w:font w:name="ArialMT">
    <w:altName w:val="Arial"/>
    <w:panose1 w:val="00000000000000000000"/>
    <w:charset w:val="4D"/>
    <w:family w:val="auto"/>
    <w:notTrueType/>
    <w:pitch w:val="default"/>
    <w:sig w:usb0="03000000" w:usb1="00000000" w:usb2="00000000" w:usb3="00000000" w:csb0="00000001" w:csb1="00000000"/>
  </w:font>
  <w:font w:name="CenturyGothic">
    <w:altName w:val="Times New Roman"/>
    <w:charset w:val="00"/>
    <w:family w:val="auto"/>
    <w:pitch w:val="variable"/>
    <w:sig w:usb0="00000001" w:usb1="00000000" w:usb2="00000000" w:usb3="00000000" w:csb0="0000009F" w:csb1="00000000"/>
  </w:font>
  <w:font w:name="Constantia-Italic">
    <w:altName w:val="Constantia"/>
    <w:panose1 w:val="00000000000000000000"/>
    <w:charset w:val="4D"/>
    <w:family w:val="auto"/>
    <w:notTrueType/>
    <w:pitch w:val="default"/>
    <w:sig w:usb0="00000003" w:usb1="00000000" w:usb2="00000000" w:usb3="00000000" w:csb0="00000001" w:csb1="00000000"/>
  </w:font>
  <w:font w:name="CenturyGothic-Bold">
    <w:altName w:val="Century Gothic"/>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TC Franklin Gothic BookCd">
    <w:altName w:val="ITC Franklin Gothic BookCd"/>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inion Pro">
    <w:panose1 w:val="02040503050201020203"/>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9C9431" w14:textId="77777777" w:rsidR="00E45888" w:rsidRDefault="00E45888" w:rsidP="005223D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1EE0AC5" w14:textId="77777777" w:rsidR="00E45888" w:rsidRDefault="00E45888" w:rsidP="005223D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F403AE" w14:textId="21044854" w:rsidR="00E45888" w:rsidRDefault="00E45888" w:rsidP="00E74FDE">
    <w:pPr>
      <w:pStyle w:val="Footer"/>
      <w:framePr w:w="473" w:wrap="around" w:vAnchor="text" w:hAnchor="page" w:x="11062" w:y="410"/>
      <w:jc w:val="right"/>
      <w:rPr>
        <w:rStyle w:val="PageNumber"/>
      </w:rPr>
    </w:pPr>
    <w:r>
      <w:rPr>
        <w:rStyle w:val="PageNumber"/>
      </w:rPr>
      <w:fldChar w:fldCharType="begin"/>
    </w:r>
    <w:r>
      <w:rPr>
        <w:rStyle w:val="PageNumber"/>
      </w:rPr>
      <w:instrText xml:space="preserve">PAGE  </w:instrText>
    </w:r>
    <w:r>
      <w:rPr>
        <w:rStyle w:val="PageNumber"/>
      </w:rPr>
      <w:fldChar w:fldCharType="separate"/>
    </w:r>
    <w:r w:rsidR="00C849AD">
      <w:rPr>
        <w:rStyle w:val="PageNumber"/>
        <w:noProof/>
      </w:rPr>
      <w:t>15</w:t>
    </w:r>
    <w:r>
      <w:rPr>
        <w:rStyle w:val="PageNumber"/>
      </w:rPr>
      <w:fldChar w:fldCharType="end"/>
    </w:r>
  </w:p>
  <w:p w14:paraId="3E3DEAE0" w14:textId="77777777" w:rsidR="00E45888" w:rsidRDefault="00E45888" w:rsidP="005223D2">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8027D9" w14:textId="77777777" w:rsidR="00E45888" w:rsidRDefault="00E45888">
    <w:pPr>
      <w:pStyle w:val="Footer"/>
    </w:pPr>
    <w:r>
      <w:rPr>
        <w:noProof/>
      </w:rPr>
      <w:drawing>
        <wp:anchor distT="0" distB="0" distL="114300" distR="114300" simplePos="0" relativeHeight="251678720" behindDoc="1" locked="0" layoutInCell="1" allowOverlap="1" wp14:anchorId="32432591" wp14:editId="5504F854">
          <wp:simplePos x="0" y="0"/>
          <wp:positionH relativeFrom="column">
            <wp:posOffset>45720</wp:posOffset>
          </wp:positionH>
          <wp:positionV relativeFrom="page">
            <wp:posOffset>9445625</wp:posOffset>
          </wp:positionV>
          <wp:extent cx="5948680" cy="274320"/>
          <wp:effectExtent l="2540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8680" cy="274320"/>
                  </a:xfrm>
                  <a:prstGeom prst="rect">
                    <a:avLst/>
                  </a:prstGeom>
                  <a:noFill/>
                  <a:ln w="9525">
                    <a:noFill/>
                    <a:miter lim="800000"/>
                    <a:headEnd/>
                    <a:tailEnd/>
                  </a:ln>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7A4F0E" w14:textId="3FC96D28" w:rsidR="00E45888" w:rsidRDefault="00E45888" w:rsidP="00E74FDE">
    <w:pPr>
      <w:pStyle w:val="Footer"/>
      <w:framePr w:w="473" w:wrap="around" w:vAnchor="text" w:hAnchor="page" w:x="11062" w:y="330"/>
      <w:jc w:val="right"/>
      <w:rPr>
        <w:rStyle w:val="PageNumber"/>
      </w:rPr>
    </w:pPr>
    <w:r>
      <w:rPr>
        <w:rStyle w:val="PageNumber"/>
      </w:rPr>
      <w:fldChar w:fldCharType="begin"/>
    </w:r>
    <w:r>
      <w:rPr>
        <w:rStyle w:val="PageNumber"/>
      </w:rPr>
      <w:instrText xml:space="preserve">PAGE  </w:instrText>
    </w:r>
    <w:r>
      <w:rPr>
        <w:rStyle w:val="PageNumber"/>
      </w:rPr>
      <w:fldChar w:fldCharType="separate"/>
    </w:r>
    <w:r w:rsidR="00C849AD">
      <w:rPr>
        <w:rStyle w:val="PageNumber"/>
        <w:noProof/>
      </w:rPr>
      <w:t>1</w:t>
    </w:r>
    <w:r>
      <w:rPr>
        <w:rStyle w:val="PageNumber"/>
      </w:rPr>
      <w:fldChar w:fldCharType="end"/>
    </w:r>
  </w:p>
  <w:p w14:paraId="7537ACD1" w14:textId="77777777" w:rsidR="00E45888" w:rsidRDefault="00E45888">
    <w:pPr>
      <w:pStyle w:val="Footer"/>
    </w:pPr>
    <w:r>
      <w:rPr>
        <w:noProof/>
      </w:rPr>
      <w:drawing>
        <wp:anchor distT="0" distB="0" distL="114300" distR="114300" simplePos="0" relativeHeight="251683840" behindDoc="1" locked="0" layoutInCell="1" allowOverlap="1" wp14:anchorId="3AB78163" wp14:editId="2CEB88C2">
          <wp:simplePos x="0" y="0"/>
          <wp:positionH relativeFrom="column">
            <wp:posOffset>45720</wp:posOffset>
          </wp:positionH>
          <wp:positionV relativeFrom="page">
            <wp:posOffset>9445625</wp:posOffset>
          </wp:positionV>
          <wp:extent cx="5948680" cy="274320"/>
          <wp:effectExtent l="2540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8680" cy="274320"/>
                  </a:xfrm>
                  <a:prstGeom prst="rect">
                    <a:avLst/>
                  </a:prstGeom>
                  <a:noFill/>
                  <a:ln w="9525">
                    <a:noFill/>
                    <a:miter lim="800000"/>
                    <a:headEnd/>
                    <a:tailEnd/>
                  </a:ln>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951D7" w14:textId="77777777" w:rsidR="00E45888" w:rsidRDefault="00E458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7066A5" w14:textId="77777777" w:rsidR="00FA6089" w:rsidRDefault="00FA6089">
      <w:r>
        <w:separator/>
      </w:r>
    </w:p>
  </w:footnote>
  <w:footnote w:type="continuationSeparator" w:id="0">
    <w:p w14:paraId="5E50E5E7" w14:textId="77777777" w:rsidR="00FA6089" w:rsidRDefault="00FA6089">
      <w:r>
        <w:continuationSeparator/>
      </w:r>
    </w:p>
  </w:footnote>
  <w:footnote w:id="1">
    <w:p w14:paraId="07472073" w14:textId="479322E7" w:rsidR="00D34523" w:rsidRPr="00987513" w:rsidRDefault="00D34523">
      <w:pPr>
        <w:pStyle w:val="FootnoteText"/>
        <w:rPr>
          <w:rFonts w:asciiTheme="majorHAnsi" w:hAnsiTheme="majorHAnsi" w:cstheme="majorHAnsi"/>
          <w:sz w:val="18"/>
          <w:szCs w:val="18"/>
        </w:rPr>
      </w:pPr>
      <w:r w:rsidRPr="00987513">
        <w:rPr>
          <w:rStyle w:val="FootnoteReference"/>
          <w:rFonts w:asciiTheme="majorHAnsi" w:hAnsiTheme="majorHAnsi" w:cstheme="majorHAnsi"/>
          <w:sz w:val="18"/>
          <w:szCs w:val="18"/>
        </w:rPr>
        <w:footnoteRef/>
      </w:r>
      <w:r w:rsidRPr="00987513">
        <w:rPr>
          <w:rFonts w:asciiTheme="majorHAnsi" w:hAnsiTheme="majorHAnsi" w:cstheme="majorHAnsi"/>
          <w:sz w:val="18"/>
          <w:szCs w:val="18"/>
        </w:rPr>
        <w:t xml:space="preserve"> Federal Student Aid Handbook </w:t>
      </w:r>
      <w:r w:rsidR="00987513" w:rsidRPr="00987513">
        <w:rPr>
          <w:rFonts w:asciiTheme="majorHAnsi" w:hAnsiTheme="majorHAnsi" w:cstheme="majorHAnsi"/>
          <w:sz w:val="18"/>
          <w:szCs w:val="18"/>
        </w:rPr>
        <w:t>Volume II (2017/18</w:t>
      </w:r>
      <w:r w:rsidRPr="00987513">
        <w:rPr>
          <w:rFonts w:asciiTheme="majorHAnsi" w:hAnsiTheme="majorHAnsi" w:cstheme="majorHAnsi"/>
          <w:sz w:val="18"/>
          <w:szCs w:val="18"/>
        </w:rPr>
        <w:t>);</w:t>
      </w:r>
      <w:r w:rsidR="00987513" w:rsidRPr="00987513">
        <w:rPr>
          <w:rFonts w:asciiTheme="majorHAnsi" w:hAnsiTheme="majorHAnsi" w:cstheme="majorHAnsi"/>
          <w:sz w:val="18"/>
          <w:szCs w:val="18"/>
        </w:rPr>
        <w:t xml:space="preserve"> “Chapter 1: Institutional Eligibility”</w:t>
      </w:r>
      <w:r w:rsidRPr="00987513">
        <w:rPr>
          <w:rFonts w:asciiTheme="majorHAnsi" w:hAnsiTheme="majorHAnsi" w:cstheme="majorHAnsi"/>
          <w:sz w:val="18"/>
          <w:szCs w:val="18"/>
        </w:rPr>
        <w:t xml:space="preserve"> </w:t>
      </w:r>
      <w:hyperlink r:id="rId1" w:history="1">
        <w:r w:rsidRPr="00987513">
          <w:rPr>
            <w:rStyle w:val="Hyperlink"/>
            <w:rFonts w:asciiTheme="majorHAnsi" w:hAnsiTheme="majorHAnsi" w:cstheme="majorHAnsi"/>
            <w:sz w:val="18"/>
            <w:szCs w:val="18"/>
          </w:rPr>
          <w:t>https://ifap.ed.gov/fsahandbook/1718FSAHbkVol2.html</w:t>
        </w:r>
      </w:hyperlink>
      <w:r w:rsidRPr="00987513">
        <w:rPr>
          <w:rFonts w:asciiTheme="majorHAnsi" w:hAnsiTheme="majorHAnsi" w:cstheme="majorHAnsi"/>
          <w:sz w:val="18"/>
          <w:szCs w:val="18"/>
        </w:rPr>
        <w:t xml:space="preserve"> </w:t>
      </w:r>
    </w:p>
  </w:footnote>
  <w:footnote w:id="2">
    <w:p w14:paraId="2B845872" w14:textId="206050B3" w:rsidR="00987513" w:rsidRPr="00987513" w:rsidRDefault="00987513">
      <w:pPr>
        <w:pStyle w:val="FootnoteText"/>
        <w:rPr>
          <w:rFonts w:asciiTheme="majorHAnsi" w:hAnsiTheme="majorHAnsi" w:cstheme="majorHAnsi"/>
          <w:sz w:val="18"/>
          <w:szCs w:val="18"/>
        </w:rPr>
      </w:pPr>
      <w:r w:rsidRPr="00987513">
        <w:rPr>
          <w:rStyle w:val="FootnoteReference"/>
          <w:rFonts w:asciiTheme="majorHAnsi" w:hAnsiTheme="majorHAnsi" w:cstheme="majorHAnsi"/>
          <w:sz w:val="18"/>
          <w:szCs w:val="18"/>
        </w:rPr>
        <w:footnoteRef/>
      </w:r>
      <w:r w:rsidRPr="00987513">
        <w:rPr>
          <w:rFonts w:asciiTheme="majorHAnsi" w:hAnsiTheme="majorHAnsi" w:cstheme="majorHAnsi"/>
          <w:sz w:val="18"/>
          <w:szCs w:val="18"/>
        </w:rPr>
        <w:t xml:space="preserve"> Federal Student Aid Handbook Volume II (2017/18); “Chapter 2: Program Eligibility”; </w:t>
      </w:r>
      <w:hyperlink r:id="rId2" w:history="1">
        <w:r w:rsidRPr="00987513">
          <w:rPr>
            <w:rStyle w:val="Hyperlink"/>
            <w:rFonts w:asciiTheme="majorHAnsi" w:hAnsiTheme="majorHAnsi" w:cstheme="majorHAnsi"/>
            <w:sz w:val="18"/>
            <w:szCs w:val="18"/>
          </w:rPr>
          <w:t>https://ifap.ed.gov/fsahandbook/1718FSAHbkVol2.html</w:t>
        </w:r>
      </w:hyperlink>
    </w:p>
  </w:footnote>
  <w:footnote w:id="3">
    <w:p w14:paraId="55FBB11C" w14:textId="6A58C4FB" w:rsidR="00E45888" w:rsidRPr="00987513" w:rsidRDefault="00E45888">
      <w:pPr>
        <w:pStyle w:val="FootnoteText"/>
        <w:rPr>
          <w:rFonts w:ascii="Century Gothic" w:hAnsi="Century Gothic"/>
          <w:sz w:val="18"/>
          <w:szCs w:val="18"/>
        </w:rPr>
      </w:pPr>
      <w:r w:rsidRPr="00987513">
        <w:rPr>
          <w:rStyle w:val="FootnoteReference"/>
          <w:rFonts w:asciiTheme="majorHAnsi" w:hAnsiTheme="majorHAnsi" w:cstheme="majorHAnsi"/>
          <w:sz w:val="18"/>
          <w:szCs w:val="18"/>
        </w:rPr>
        <w:footnoteRef/>
      </w:r>
      <w:hyperlink r:id="rId3" w:history="1">
        <w:r w:rsidR="00987513" w:rsidRPr="00987513">
          <w:rPr>
            <w:rStyle w:val="Hyperlink"/>
            <w:rFonts w:asciiTheme="majorHAnsi" w:hAnsiTheme="majorHAnsi" w:cstheme="majorHAnsi"/>
            <w:sz w:val="18"/>
            <w:szCs w:val="18"/>
          </w:rPr>
          <w:t>http://extranet.cccco.edu/Portals/1/AA/Credit/Guidelines%20for%20Using%20CB21%20Course%20Prior%20to%20Transfer%20Rubrics.pdf</w:t>
        </w:r>
      </w:hyperlink>
      <w:r w:rsidR="00987513" w:rsidRPr="00987513">
        <w:rPr>
          <w:rFonts w:ascii="Century Gothic" w:hAnsi="Century Gothic"/>
          <w:sz w:val="18"/>
          <w:szCs w:val="18"/>
        </w:rPr>
        <w:t xml:space="preserve"> </w:t>
      </w:r>
    </w:p>
  </w:footnote>
  <w:footnote w:id="4">
    <w:p w14:paraId="4656AA41" w14:textId="2C711DFB" w:rsidR="00987513" w:rsidRPr="00987513" w:rsidRDefault="00987513">
      <w:pPr>
        <w:pStyle w:val="FootnoteText"/>
        <w:rPr>
          <w:rFonts w:asciiTheme="majorHAnsi" w:hAnsiTheme="majorHAnsi" w:cstheme="majorHAnsi"/>
        </w:rPr>
      </w:pPr>
      <w:r w:rsidRPr="00987513">
        <w:rPr>
          <w:rStyle w:val="FootnoteReference"/>
          <w:rFonts w:asciiTheme="majorHAnsi" w:hAnsiTheme="majorHAnsi" w:cstheme="majorHAnsi"/>
          <w:sz w:val="18"/>
          <w:szCs w:val="18"/>
        </w:rPr>
        <w:footnoteRef/>
      </w:r>
      <w:r w:rsidRPr="00987513">
        <w:rPr>
          <w:rFonts w:asciiTheme="majorHAnsi" w:hAnsiTheme="majorHAnsi" w:cstheme="majorHAnsi"/>
          <w:sz w:val="18"/>
          <w:szCs w:val="18"/>
        </w:rPr>
        <w:t xml:space="preserve"> </w:t>
      </w:r>
      <w:hyperlink r:id="rId4" w:history="1">
        <w:r w:rsidRPr="00987513">
          <w:rPr>
            <w:rStyle w:val="Hyperlink"/>
            <w:rFonts w:asciiTheme="majorHAnsi" w:hAnsiTheme="majorHAnsi" w:cstheme="majorHAnsi"/>
            <w:sz w:val="18"/>
            <w:szCs w:val="18"/>
          </w:rPr>
          <w:t>http://extranet.cccco.edu/Portals/1/TRIS/MIS/Left_Nav/DED/Data_Elements/CB/cb04.pdf</w:t>
        </w:r>
      </w:hyperlink>
      <w:r w:rsidRPr="00987513">
        <w:rPr>
          <w:rFonts w:asciiTheme="majorHAnsi" w:hAnsiTheme="majorHAnsi" w:cstheme="majorHAnsi"/>
        </w:rPr>
        <w:t xml:space="preserve"> </w:t>
      </w:r>
    </w:p>
  </w:footnote>
  <w:footnote w:id="5">
    <w:p w14:paraId="114189B5" w14:textId="7907189F" w:rsidR="00A75EA3" w:rsidRPr="00A75EA3" w:rsidRDefault="00A75EA3">
      <w:pPr>
        <w:pStyle w:val="FootnoteText"/>
        <w:rPr>
          <w:rFonts w:asciiTheme="majorHAnsi" w:hAnsiTheme="majorHAnsi" w:cstheme="majorHAnsi"/>
          <w:sz w:val="18"/>
          <w:szCs w:val="18"/>
        </w:rPr>
      </w:pPr>
      <w:r w:rsidRPr="00A75EA3">
        <w:rPr>
          <w:rStyle w:val="FootnoteReference"/>
          <w:rFonts w:asciiTheme="majorHAnsi" w:hAnsiTheme="majorHAnsi" w:cstheme="majorHAnsi"/>
          <w:sz w:val="18"/>
          <w:szCs w:val="18"/>
        </w:rPr>
        <w:footnoteRef/>
      </w:r>
      <w:r w:rsidRPr="00A75EA3">
        <w:rPr>
          <w:rFonts w:asciiTheme="majorHAnsi" w:hAnsiTheme="majorHAnsi" w:cstheme="majorHAnsi"/>
          <w:sz w:val="18"/>
          <w:szCs w:val="18"/>
        </w:rPr>
        <w:t xml:space="preserve"> </w:t>
      </w:r>
      <w:hyperlink r:id="rId5" w:history="1">
        <w:r w:rsidRPr="00A75EA3">
          <w:rPr>
            <w:rStyle w:val="Hyperlink"/>
            <w:rFonts w:asciiTheme="majorHAnsi" w:hAnsiTheme="majorHAnsi" w:cstheme="majorHAnsi"/>
            <w:sz w:val="18"/>
            <w:szCs w:val="18"/>
          </w:rPr>
          <w:t>https://leginfo.legislature.ca.gov/faces/billTextClient.xhtml?bill_id=201520160AB104</w:t>
        </w:r>
      </w:hyperlink>
      <w:r w:rsidRPr="00A75EA3">
        <w:rPr>
          <w:rFonts w:asciiTheme="majorHAnsi" w:hAnsiTheme="majorHAnsi" w:cstheme="majorHAnsi"/>
          <w:sz w:val="18"/>
          <w:szCs w:val="18"/>
        </w:rPr>
        <w:t xml:space="preserve"> (Chapters 39, 40)</w:t>
      </w:r>
    </w:p>
  </w:footnote>
  <w:footnote w:id="6">
    <w:p w14:paraId="30B3E704" w14:textId="77777777" w:rsidR="00A75EA3" w:rsidRPr="00A75EA3" w:rsidRDefault="00A75EA3" w:rsidP="00A75EA3">
      <w:pPr>
        <w:pStyle w:val="FootnoteText"/>
        <w:rPr>
          <w:rFonts w:asciiTheme="majorHAnsi" w:hAnsiTheme="majorHAnsi" w:cstheme="majorHAnsi"/>
          <w:sz w:val="18"/>
          <w:szCs w:val="18"/>
        </w:rPr>
      </w:pPr>
      <w:r w:rsidRPr="00A75EA3">
        <w:rPr>
          <w:rStyle w:val="FootnoteReference"/>
          <w:rFonts w:asciiTheme="majorHAnsi" w:hAnsiTheme="majorHAnsi" w:cstheme="majorHAnsi"/>
          <w:sz w:val="18"/>
          <w:szCs w:val="18"/>
        </w:rPr>
        <w:footnoteRef/>
      </w:r>
      <w:r w:rsidRPr="00A75EA3">
        <w:rPr>
          <w:rFonts w:asciiTheme="majorHAnsi" w:hAnsiTheme="majorHAnsi" w:cstheme="majorHAnsi"/>
          <w:sz w:val="18"/>
          <w:szCs w:val="18"/>
        </w:rPr>
        <w:t xml:space="preserve"> US Department of Education: Office of Career, Technical, and Adult Education (2016); “Program Memorandum OCTAE 17-2: Performance Accountability Guidance for Workforce Innovation and Opportunity Act (WIOA) Title I, Title II, Title III, Title IV Core Programs. </w:t>
      </w:r>
      <w:hyperlink r:id="rId6" w:history="1">
        <w:r w:rsidRPr="00A75EA3">
          <w:rPr>
            <w:rStyle w:val="Hyperlink"/>
            <w:rFonts w:asciiTheme="majorHAnsi" w:hAnsiTheme="majorHAnsi" w:cstheme="majorHAnsi"/>
            <w:sz w:val="18"/>
            <w:szCs w:val="18"/>
          </w:rPr>
          <w:t>http://www.nrsweb.org/foundations/Program%20Memorandum%2017-2%20OCTAE.pdf</w:t>
        </w:r>
      </w:hyperlink>
      <w:r w:rsidRPr="00A75EA3">
        <w:rPr>
          <w:rFonts w:asciiTheme="majorHAnsi" w:hAnsiTheme="majorHAnsi" w:cstheme="majorHAnsi"/>
          <w:sz w:val="18"/>
          <w:szCs w:val="18"/>
        </w:rPr>
        <w:t xml:space="preserve"> </w:t>
      </w:r>
    </w:p>
  </w:footnote>
  <w:footnote w:id="7">
    <w:p w14:paraId="7D007FD9" w14:textId="65BC04AB" w:rsidR="00A75EA3" w:rsidRPr="00A75EA3" w:rsidRDefault="00A75EA3">
      <w:pPr>
        <w:pStyle w:val="FootnoteText"/>
        <w:rPr>
          <w:rFonts w:asciiTheme="majorHAnsi" w:hAnsiTheme="majorHAnsi" w:cstheme="majorHAnsi"/>
          <w:sz w:val="18"/>
          <w:szCs w:val="18"/>
        </w:rPr>
      </w:pPr>
      <w:r w:rsidRPr="00A75EA3">
        <w:rPr>
          <w:rStyle w:val="FootnoteReference"/>
          <w:rFonts w:asciiTheme="majorHAnsi" w:hAnsiTheme="majorHAnsi" w:cstheme="majorHAnsi"/>
          <w:sz w:val="18"/>
          <w:szCs w:val="18"/>
        </w:rPr>
        <w:footnoteRef/>
      </w:r>
      <w:r w:rsidRPr="00A75EA3">
        <w:rPr>
          <w:rFonts w:asciiTheme="majorHAnsi" w:hAnsiTheme="majorHAnsi" w:cstheme="majorHAnsi"/>
          <w:sz w:val="18"/>
          <w:szCs w:val="18"/>
        </w:rPr>
        <w:t xml:space="preserve"> </w:t>
      </w:r>
      <w:hyperlink r:id="rId7" w:history="1">
        <w:r w:rsidRPr="00A75EA3">
          <w:rPr>
            <w:rStyle w:val="Hyperlink"/>
            <w:rFonts w:asciiTheme="majorHAnsi" w:hAnsiTheme="majorHAnsi" w:cstheme="majorHAnsi"/>
            <w:sz w:val="18"/>
            <w:szCs w:val="18"/>
          </w:rPr>
          <w:t>https://wdr.doleta.gov/directives/attach/TEGL15-10acc.pdf</w:t>
        </w:r>
      </w:hyperlink>
      <w:r w:rsidRPr="00A75EA3">
        <w:rPr>
          <w:rFonts w:asciiTheme="majorHAnsi" w:hAnsiTheme="majorHAnsi" w:cstheme="majorHAnsi"/>
          <w:sz w:val="18"/>
          <w:szCs w:val="18"/>
        </w:rPr>
        <w:t xml:space="preserve"> </w:t>
      </w:r>
    </w:p>
  </w:footnote>
  <w:footnote w:id="8">
    <w:p w14:paraId="63F1A07B" w14:textId="3FF4F462" w:rsidR="00A75EA3" w:rsidRDefault="00A75EA3">
      <w:pPr>
        <w:pStyle w:val="FootnoteText"/>
      </w:pPr>
      <w:r>
        <w:rPr>
          <w:rStyle w:val="FootnoteReference"/>
        </w:rPr>
        <w:footnoteRef/>
      </w:r>
      <w:r>
        <w:t xml:space="preserve"> </w:t>
      </w:r>
      <w:r w:rsidRPr="00987513">
        <w:rPr>
          <w:rFonts w:asciiTheme="majorHAnsi" w:hAnsiTheme="majorHAnsi" w:cstheme="majorHAnsi"/>
          <w:sz w:val="18"/>
          <w:szCs w:val="18"/>
        </w:rPr>
        <w:t xml:space="preserve">Federal Student Aid Handbook Volume II (2017/18); “Chapter 2: Program Eligibility”; </w:t>
      </w:r>
      <w:hyperlink r:id="rId8" w:history="1">
        <w:r w:rsidRPr="00987513">
          <w:rPr>
            <w:rStyle w:val="Hyperlink"/>
            <w:rFonts w:asciiTheme="majorHAnsi" w:hAnsiTheme="majorHAnsi" w:cstheme="majorHAnsi"/>
            <w:sz w:val="18"/>
            <w:szCs w:val="18"/>
          </w:rPr>
          <w:t>https://ifap.ed.gov/fsahandbook/1718FSAHbkVol2.html</w:t>
        </w:r>
      </w:hyperlink>
    </w:p>
  </w:footnote>
  <w:footnote w:id="9">
    <w:p w14:paraId="5D3F742A" w14:textId="292B91E9" w:rsidR="00E45888" w:rsidRPr="00A75EA3" w:rsidRDefault="00E45888">
      <w:pPr>
        <w:pStyle w:val="FootnoteText"/>
        <w:rPr>
          <w:rFonts w:asciiTheme="majorHAnsi" w:hAnsiTheme="majorHAnsi" w:cstheme="majorHAnsi"/>
          <w:sz w:val="18"/>
          <w:szCs w:val="18"/>
        </w:rPr>
      </w:pPr>
      <w:r w:rsidRPr="00A75EA3">
        <w:rPr>
          <w:rStyle w:val="FootnoteReference"/>
          <w:rFonts w:asciiTheme="majorHAnsi" w:hAnsiTheme="majorHAnsi" w:cstheme="majorHAnsi"/>
          <w:sz w:val="18"/>
          <w:szCs w:val="18"/>
        </w:rPr>
        <w:footnoteRef/>
      </w:r>
      <w:r w:rsidRPr="00A75EA3">
        <w:rPr>
          <w:rFonts w:asciiTheme="majorHAnsi" w:hAnsiTheme="majorHAnsi" w:cstheme="majorHAnsi"/>
          <w:sz w:val="18"/>
          <w:szCs w:val="18"/>
        </w:rPr>
        <w:t xml:space="preserve"> </w:t>
      </w:r>
      <w:hyperlink r:id="rId9" w:history="1">
        <w:r w:rsidR="00A75EA3" w:rsidRPr="00EA5A1F">
          <w:rPr>
            <w:rStyle w:val="Hyperlink"/>
            <w:rFonts w:asciiTheme="majorHAnsi" w:hAnsiTheme="majorHAnsi" w:cstheme="majorHAnsi"/>
            <w:sz w:val="18"/>
            <w:szCs w:val="18"/>
          </w:rPr>
          <w:t>www.workforcedqc.org/news/blog/new-jersey-releases-list-industry-valued-credentials</w:t>
        </w:r>
      </w:hyperlink>
      <w:r w:rsidR="00A75EA3">
        <w:rPr>
          <w:rFonts w:asciiTheme="majorHAnsi" w:hAnsiTheme="majorHAnsi" w:cstheme="majorHAnsi"/>
          <w:sz w:val="18"/>
          <w:szCs w:val="18"/>
        </w:rPr>
        <w:t xml:space="preserve"> </w:t>
      </w:r>
    </w:p>
  </w:footnote>
  <w:footnote w:id="10">
    <w:p w14:paraId="012C9D36" w14:textId="76B615C0" w:rsidR="00E45888" w:rsidRDefault="00E45888" w:rsidP="00F3080F">
      <w:pPr>
        <w:pStyle w:val="FootnoteText"/>
      </w:pPr>
      <w:r w:rsidRPr="00A75EA3">
        <w:rPr>
          <w:rStyle w:val="FootnoteReference"/>
          <w:rFonts w:asciiTheme="majorHAnsi" w:hAnsiTheme="majorHAnsi" w:cstheme="majorHAnsi"/>
          <w:sz w:val="18"/>
          <w:szCs w:val="18"/>
        </w:rPr>
        <w:footnoteRef/>
      </w:r>
      <w:r w:rsidRPr="00A75EA3">
        <w:rPr>
          <w:rFonts w:asciiTheme="majorHAnsi" w:hAnsiTheme="majorHAnsi" w:cstheme="majorHAnsi"/>
          <w:sz w:val="18"/>
          <w:szCs w:val="18"/>
        </w:rPr>
        <w:t xml:space="preserve"> </w:t>
      </w:r>
      <w:hyperlink r:id="rId10" w:history="1">
        <w:r w:rsidR="00A75EA3" w:rsidRPr="00EA5A1F">
          <w:rPr>
            <w:rStyle w:val="Hyperlink"/>
            <w:rFonts w:asciiTheme="majorHAnsi" w:hAnsiTheme="majorHAnsi" w:cstheme="majorHAnsi"/>
            <w:sz w:val="18"/>
            <w:szCs w:val="18"/>
          </w:rPr>
          <w:t>www.workforcedqc.org/wcc/projects</w:t>
        </w:r>
      </w:hyperlink>
      <w:r w:rsidR="00A75EA3">
        <w:rPr>
          <w:rFonts w:asciiTheme="majorHAnsi" w:hAnsiTheme="majorHAnsi" w:cstheme="majorHAnsi"/>
          <w:sz w:val="18"/>
          <w:szCs w:val="18"/>
        </w:rPr>
        <w:t xml:space="preserve"> </w:t>
      </w:r>
    </w:p>
  </w:footnote>
  <w:footnote w:id="11">
    <w:p w14:paraId="19753BF0" w14:textId="77777777" w:rsidR="00E45888" w:rsidRPr="00A75EA3" w:rsidRDefault="00E45888" w:rsidP="009C6CF9">
      <w:pPr>
        <w:pStyle w:val="FootnoteText"/>
        <w:rPr>
          <w:rFonts w:asciiTheme="majorHAnsi" w:hAnsiTheme="majorHAnsi" w:cstheme="majorHAnsi"/>
          <w:sz w:val="18"/>
          <w:szCs w:val="18"/>
        </w:rPr>
      </w:pPr>
      <w:r w:rsidRPr="00A75EA3">
        <w:rPr>
          <w:rStyle w:val="FootnoteReference"/>
          <w:rFonts w:asciiTheme="majorHAnsi" w:hAnsiTheme="majorHAnsi" w:cstheme="majorHAnsi"/>
          <w:sz w:val="18"/>
          <w:szCs w:val="18"/>
        </w:rPr>
        <w:footnoteRef/>
      </w:r>
      <w:r w:rsidRPr="00A75EA3">
        <w:rPr>
          <w:rFonts w:asciiTheme="majorHAnsi" w:hAnsiTheme="majorHAnsi" w:cstheme="majorHAnsi"/>
          <w:sz w:val="18"/>
          <w:szCs w:val="18"/>
        </w:rPr>
        <w:t xml:space="preserve"> US Department of Education: Office of Career, Technical, and Adult Education (2016); “Program Memorandum OCTAE 17-2: Performance Accountability Guidance for Workforce Innovation and Opportunity Act (WIOA) Title I, Title II, Title III, Title IV Core Programs. </w:t>
      </w:r>
      <w:hyperlink r:id="rId11" w:history="1">
        <w:r w:rsidRPr="00A75EA3">
          <w:rPr>
            <w:rStyle w:val="Hyperlink"/>
            <w:rFonts w:asciiTheme="majorHAnsi" w:hAnsiTheme="majorHAnsi" w:cstheme="majorHAnsi"/>
            <w:sz w:val="18"/>
            <w:szCs w:val="18"/>
          </w:rPr>
          <w:t>http://www.nrsweb.org/foundations/Program%20Memorandum%2017-2%20OCTAE.pdf</w:t>
        </w:r>
      </w:hyperlink>
      <w:r w:rsidRPr="00A75EA3">
        <w:rPr>
          <w:rFonts w:asciiTheme="majorHAnsi" w:hAnsiTheme="majorHAnsi" w:cstheme="majorHAnsi"/>
          <w:sz w:val="18"/>
          <w:szCs w:val="18"/>
        </w:rPr>
        <w:t xml:space="preserve"> </w:t>
      </w:r>
    </w:p>
  </w:footnote>
  <w:footnote w:id="12">
    <w:p w14:paraId="5BB97986" w14:textId="77777777" w:rsidR="00E45888" w:rsidRPr="00A75EA3" w:rsidRDefault="00E45888" w:rsidP="00AF2DE7">
      <w:pPr>
        <w:pStyle w:val="FootnoteText"/>
        <w:rPr>
          <w:rFonts w:asciiTheme="majorHAnsi" w:hAnsiTheme="majorHAnsi" w:cstheme="majorHAnsi"/>
        </w:rPr>
      </w:pPr>
      <w:r w:rsidRPr="00A75EA3">
        <w:rPr>
          <w:rStyle w:val="FootnoteReference"/>
          <w:rFonts w:asciiTheme="majorHAnsi" w:hAnsiTheme="majorHAnsi" w:cstheme="majorHAnsi"/>
        </w:rPr>
        <w:footnoteRef/>
      </w:r>
      <w:r w:rsidRPr="00A75EA3">
        <w:rPr>
          <w:rFonts w:asciiTheme="majorHAnsi" w:hAnsiTheme="majorHAnsi" w:cstheme="majorHAnsi"/>
        </w:rPr>
        <w:t xml:space="preserve"> US Department of Education: Office of Career, Technical, and Adult Education (2016); “Program Memorandum OCTAE 17-2: Performance Accountability Guidance for Workforce Innovation and Opportunity Act (WIOA) Title I, Title II, Title III, Title IV Core Programs. </w:t>
      </w:r>
      <w:hyperlink r:id="rId12" w:history="1">
        <w:r w:rsidRPr="00A75EA3">
          <w:rPr>
            <w:rStyle w:val="Hyperlink"/>
            <w:rFonts w:asciiTheme="majorHAnsi" w:hAnsiTheme="majorHAnsi" w:cstheme="majorHAnsi"/>
          </w:rPr>
          <w:t>http://www.nrsweb.org/foundations/Program%20Memorandum%2017-2%20OCTAE.pdf</w:t>
        </w:r>
      </w:hyperlink>
    </w:p>
  </w:footnote>
  <w:footnote w:id="13">
    <w:p w14:paraId="4F6A933E" w14:textId="62D5459E" w:rsidR="00A75EA3" w:rsidRDefault="00A75EA3">
      <w:pPr>
        <w:pStyle w:val="FootnoteText"/>
      </w:pPr>
      <w:r w:rsidRPr="00A75EA3">
        <w:rPr>
          <w:rStyle w:val="FootnoteReference"/>
          <w:rFonts w:asciiTheme="majorHAnsi" w:hAnsiTheme="majorHAnsi" w:cstheme="majorHAnsi"/>
        </w:rPr>
        <w:footnoteRef/>
      </w:r>
      <w:r w:rsidRPr="00A75EA3">
        <w:rPr>
          <w:rFonts w:asciiTheme="majorHAnsi" w:hAnsiTheme="majorHAnsi" w:cstheme="majorHAnsi"/>
        </w:rPr>
        <w:t xml:space="preserve"> </w:t>
      </w:r>
      <w:hyperlink r:id="rId13" w:history="1">
        <w:r w:rsidRPr="00A75EA3">
          <w:rPr>
            <w:rStyle w:val="Hyperlink"/>
            <w:rFonts w:asciiTheme="majorHAnsi" w:hAnsiTheme="majorHAnsi" w:cstheme="majorHAnsi"/>
          </w:rPr>
          <w:t>http://aebg.cccco.edu/Portals/1/docs/AEBG%20Reports/6.6.17%20Prosperity%20Through%20Partnership%20-%20Opportunities%20for%20AEBG%20to%20Strengthen%20Sy....pdf</w:t>
        </w:r>
      </w:hyperlink>
      <w:r>
        <w:t xml:space="preserve"> </w:t>
      </w:r>
    </w:p>
  </w:footnote>
  <w:footnote w:id="14">
    <w:p w14:paraId="6ACC9370" w14:textId="0DD700A4" w:rsidR="00063294" w:rsidRPr="00063294" w:rsidRDefault="00063294">
      <w:pPr>
        <w:pStyle w:val="FootnoteText"/>
        <w:rPr>
          <w:rFonts w:asciiTheme="majorHAnsi" w:hAnsiTheme="majorHAnsi" w:cstheme="majorHAnsi"/>
        </w:rPr>
      </w:pPr>
      <w:r w:rsidRPr="00063294">
        <w:rPr>
          <w:rStyle w:val="FootnoteReference"/>
          <w:rFonts w:asciiTheme="majorHAnsi" w:hAnsiTheme="majorHAnsi" w:cstheme="majorHAnsi"/>
        </w:rPr>
        <w:footnoteRef/>
      </w:r>
      <w:r w:rsidRPr="00063294">
        <w:rPr>
          <w:rFonts w:asciiTheme="majorHAnsi" w:hAnsiTheme="majorHAnsi" w:cstheme="majorHAnsi"/>
        </w:rPr>
        <w:t xml:space="preserve"> </w:t>
      </w:r>
      <w:hyperlink r:id="rId14" w:history="1">
        <w:r w:rsidRPr="00063294">
          <w:rPr>
            <w:rStyle w:val="Hyperlink"/>
            <w:rFonts w:asciiTheme="majorHAnsi" w:hAnsiTheme="majorHAnsi" w:cstheme="majorHAnsi"/>
          </w:rPr>
          <w:t>http://extranet.cccco.edu/Portals/1/TRIS/MIS/Left_Nav/DED/Data_Elements/CB/cb21.pdf</w:t>
        </w:r>
      </w:hyperlink>
      <w:r w:rsidRPr="00063294">
        <w:rPr>
          <w:rFonts w:asciiTheme="majorHAnsi" w:hAnsiTheme="majorHAnsi" w:cstheme="majorHAnsi"/>
        </w:rPr>
        <w:t xml:space="preserve"> </w:t>
      </w:r>
    </w:p>
  </w:footnote>
  <w:footnote w:id="15">
    <w:p w14:paraId="5C5E96B7" w14:textId="77777777" w:rsidR="00E45888" w:rsidRPr="005D6675" w:rsidRDefault="00E45888" w:rsidP="00D2323E">
      <w:pPr>
        <w:pStyle w:val="FootnoteText"/>
        <w:rPr>
          <w:rFonts w:ascii="Century Gothic" w:hAnsi="Century Gothic"/>
          <w:sz w:val="16"/>
          <w:szCs w:val="16"/>
        </w:rPr>
      </w:pPr>
      <w:r w:rsidRPr="00063294">
        <w:rPr>
          <w:rStyle w:val="FootnoteReference"/>
          <w:rFonts w:asciiTheme="majorHAnsi" w:hAnsiTheme="majorHAnsi" w:cstheme="majorHAnsi"/>
        </w:rPr>
        <w:footnoteRef/>
      </w:r>
      <w:r w:rsidRPr="00063294">
        <w:rPr>
          <w:rFonts w:asciiTheme="majorHAnsi" w:hAnsiTheme="majorHAnsi" w:cstheme="majorHAnsi"/>
        </w:rPr>
        <w:t xml:space="preserve"> Department of Labor (1991), </w:t>
      </w:r>
      <w:r w:rsidRPr="00063294">
        <w:rPr>
          <w:rFonts w:asciiTheme="majorHAnsi" w:hAnsiTheme="majorHAnsi" w:cstheme="majorHAnsi"/>
          <w:i/>
        </w:rPr>
        <w:t>What Work Needs from Schools</w:t>
      </w:r>
      <w:r w:rsidRPr="00063294">
        <w:rPr>
          <w:rFonts w:asciiTheme="majorHAnsi" w:hAnsiTheme="majorHAnsi" w:cstheme="majorHAnsi"/>
        </w:rPr>
        <w:t xml:space="preserve">, </w:t>
      </w:r>
      <w:hyperlink r:id="rId15" w:history="1">
        <w:r w:rsidRPr="00063294">
          <w:rPr>
            <w:rStyle w:val="Hyperlink"/>
            <w:rFonts w:asciiTheme="majorHAnsi" w:hAnsiTheme="majorHAnsi" w:cstheme="majorHAnsi"/>
          </w:rPr>
          <w:t>https://wdr.doleta.gov/scans/whatwork/whatwork.pdf</w:t>
        </w:r>
      </w:hyperlink>
      <w:r w:rsidRPr="005D6675">
        <w:rPr>
          <w:rFonts w:ascii="Century Gothic" w:hAnsi="Century Gothic"/>
          <w:sz w:val="16"/>
          <w:szCs w:val="16"/>
        </w:rPr>
        <w:t xml:space="preserve"> </w:t>
      </w:r>
    </w:p>
  </w:footnote>
  <w:footnote w:id="16">
    <w:p w14:paraId="21FBF957" w14:textId="77777777" w:rsidR="00E45888" w:rsidRPr="00063294" w:rsidRDefault="00E45888" w:rsidP="007D00FF">
      <w:pPr>
        <w:pStyle w:val="FootnoteText"/>
        <w:rPr>
          <w:rFonts w:asciiTheme="majorHAnsi" w:hAnsiTheme="majorHAnsi" w:cstheme="majorHAnsi"/>
          <w:color w:val="auto"/>
        </w:rPr>
      </w:pPr>
      <w:r w:rsidRPr="00063294">
        <w:rPr>
          <w:rStyle w:val="FootnoteReference"/>
          <w:rFonts w:asciiTheme="majorHAnsi" w:hAnsiTheme="majorHAnsi" w:cstheme="majorHAnsi"/>
          <w:color w:val="auto"/>
        </w:rPr>
        <w:footnoteRef/>
      </w:r>
      <w:r w:rsidRPr="00063294">
        <w:rPr>
          <w:rFonts w:asciiTheme="majorHAnsi" w:hAnsiTheme="majorHAnsi" w:cstheme="majorHAnsi"/>
          <w:color w:val="auto"/>
        </w:rPr>
        <w:t xml:space="preserve"> WIOA Title II Adult Education and Literacy. </w:t>
      </w:r>
      <w:hyperlink r:id="rId16" w:history="1">
        <w:r w:rsidRPr="00063294">
          <w:rPr>
            <w:rStyle w:val="Hyperlink"/>
            <w:rFonts w:asciiTheme="majorHAnsi" w:hAnsiTheme="majorHAnsi" w:cstheme="majorHAnsi"/>
            <w:shd w:val="clear" w:color="auto" w:fill="FFFFFF"/>
          </w:rPr>
          <w:t>www.wa.gov/esd/1stop/docs/wioa/WIOA_Title_II.doc</w:t>
        </w:r>
      </w:hyperlink>
      <w:r w:rsidRPr="00063294">
        <w:rPr>
          <w:rFonts w:asciiTheme="majorHAnsi" w:hAnsiTheme="majorHAnsi" w:cstheme="majorHAnsi"/>
          <w:color w:val="auto"/>
          <w:shd w:val="clear" w:color="auto" w:fill="FFFFFF"/>
        </w:rPr>
        <w:t xml:space="preserve"> </w:t>
      </w:r>
    </w:p>
  </w:footnote>
  <w:footnote w:id="17">
    <w:p w14:paraId="44D22264" w14:textId="77777777" w:rsidR="00E45888" w:rsidRPr="00281BB2" w:rsidRDefault="00E45888" w:rsidP="007D00FF">
      <w:pPr>
        <w:pStyle w:val="FootnoteText"/>
        <w:rPr>
          <w:rFonts w:ascii="Century Gothic" w:hAnsi="Century Gothic"/>
          <w:sz w:val="16"/>
          <w:szCs w:val="16"/>
        </w:rPr>
      </w:pPr>
      <w:r w:rsidRPr="00063294">
        <w:rPr>
          <w:rStyle w:val="FootnoteReference"/>
          <w:rFonts w:asciiTheme="majorHAnsi" w:hAnsiTheme="majorHAnsi" w:cstheme="majorHAnsi"/>
        </w:rPr>
        <w:footnoteRef/>
      </w:r>
      <w:r w:rsidRPr="00063294">
        <w:rPr>
          <w:rFonts w:asciiTheme="majorHAnsi" w:hAnsiTheme="majorHAnsi" w:cstheme="majorHAnsi"/>
        </w:rPr>
        <w:t xml:space="preserve"> </w:t>
      </w:r>
      <w:hyperlink r:id="rId17" w:history="1">
        <w:r w:rsidRPr="00063294">
          <w:rPr>
            <w:rStyle w:val="Hyperlink"/>
            <w:rFonts w:asciiTheme="majorHAnsi" w:hAnsiTheme="majorHAnsi" w:cstheme="majorHAnsi"/>
          </w:rPr>
          <w:t>https://www.sbctc.edu/colleges-staff/programs-services/i-best/</w:t>
        </w:r>
      </w:hyperlink>
    </w:p>
  </w:footnote>
  <w:footnote w:id="18">
    <w:p w14:paraId="3C19BA26" w14:textId="7598AB85" w:rsidR="00A72477" w:rsidRPr="00063294" w:rsidRDefault="00A72477">
      <w:pPr>
        <w:pStyle w:val="FootnoteText"/>
        <w:rPr>
          <w:rFonts w:asciiTheme="majorHAnsi" w:hAnsiTheme="majorHAnsi" w:cstheme="majorHAnsi"/>
        </w:rPr>
      </w:pPr>
      <w:r w:rsidRPr="00063294">
        <w:rPr>
          <w:rStyle w:val="FootnoteReference"/>
          <w:rFonts w:asciiTheme="majorHAnsi" w:hAnsiTheme="majorHAnsi" w:cstheme="majorHAnsi"/>
        </w:rPr>
        <w:footnoteRef/>
      </w:r>
      <w:r w:rsidRPr="00063294">
        <w:rPr>
          <w:rFonts w:asciiTheme="majorHAnsi" w:hAnsiTheme="majorHAnsi" w:cstheme="majorHAnsi"/>
        </w:rPr>
        <w:t xml:space="preserve"> Brick, M. &amp; Williams, D. (2013). Explaining rising nonresponse rates in cross-sectional surveys. </w:t>
      </w:r>
      <w:r w:rsidRPr="00063294">
        <w:rPr>
          <w:rFonts w:asciiTheme="majorHAnsi" w:hAnsiTheme="majorHAnsi" w:cstheme="majorHAnsi"/>
          <w:i/>
          <w:iCs/>
        </w:rPr>
        <w:t xml:space="preserve">The Annals of the American Academy of Political and Social Science, </w:t>
      </w:r>
      <w:r w:rsidRPr="00063294">
        <w:rPr>
          <w:rFonts w:asciiTheme="majorHAnsi" w:hAnsiTheme="majorHAnsi" w:cstheme="majorHAnsi"/>
          <w:i/>
        </w:rPr>
        <w:t>645,</w:t>
      </w:r>
      <w:r w:rsidRPr="00063294">
        <w:rPr>
          <w:rFonts w:asciiTheme="majorHAnsi" w:hAnsiTheme="majorHAnsi" w:cstheme="majorHAnsi"/>
        </w:rPr>
        <w:t xml:space="preserve"> 36-59.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CB58D2" w14:textId="77777777" w:rsidR="00E45888" w:rsidRDefault="00E45888" w:rsidP="00FD4736">
    <w:pPr>
      <w:ind w:right="360"/>
    </w:pPr>
    <w:r w:rsidRPr="0083534F">
      <w:rPr>
        <w:noProof/>
      </w:rPr>
      <w:drawing>
        <wp:anchor distT="0" distB="0" distL="114300" distR="114300" simplePos="0" relativeHeight="251686912" behindDoc="1" locked="0" layoutInCell="1" allowOverlap="1" wp14:anchorId="33D1ED6B" wp14:editId="178E0168">
          <wp:simplePos x="0" y="0"/>
          <wp:positionH relativeFrom="column">
            <wp:posOffset>-931333</wp:posOffset>
          </wp:positionH>
          <wp:positionV relativeFrom="page">
            <wp:posOffset>0</wp:posOffset>
          </wp:positionV>
          <wp:extent cx="7823200" cy="10126133"/>
          <wp:effectExtent l="25400" t="0" r="0" b="0"/>
          <wp:wrapNone/>
          <wp:docPr id="4" name="Picture 4" descr="b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1.jpg"/>
                  <pic:cNvPicPr/>
                </pic:nvPicPr>
                <pic:blipFill>
                  <a:blip r:embed="rId1"/>
                  <a:stretch>
                    <a:fillRect/>
                  </a:stretch>
                </pic:blipFill>
                <pic:spPr>
                  <a:xfrm>
                    <a:off x="0" y="0"/>
                    <a:ext cx="7823200" cy="10125088"/>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9C2C53" w14:textId="77777777" w:rsidR="00E45888" w:rsidRDefault="00E45888" w:rsidP="00FD4736">
    <w:pP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B0C9C5" w14:textId="77777777" w:rsidR="00E45888" w:rsidRDefault="00E45888"/>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9A8050" w14:textId="77777777" w:rsidR="00E45888" w:rsidRPr="00537571" w:rsidRDefault="00E45888" w:rsidP="00537571">
    <w:r>
      <w:rPr>
        <w:noProof/>
      </w:rPr>
      <w:drawing>
        <wp:anchor distT="0" distB="0" distL="114300" distR="114300" simplePos="0" relativeHeight="251684864" behindDoc="0" locked="0" layoutInCell="1" allowOverlap="1" wp14:anchorId="3DD8BCF6" wp14:editId="3ED5FC77">
          <wp:simplePos x="0" y="0"/>
          <wp:positionH relativeFrom="column">
            <wp:posOffset>-914400</wp:posOffset>
          </wp:positionH>
          <wp:positionV relativeFrom="page">
            <wp:posOffset>8466</wp:posOffset>
          </wp:positionV>
          <wp:extent cx="7780867" cy="10064141"/>
          <wp:effectExtent l="25400" t="0" r="0" b="0"/>
          <wp:wrapNone/>
          <wp:docPr id="5" name="Picture 5" descr="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1"/>
                  <a:stretch>
                    <a:fillRect/>
                  </a:stretch>
                </pic:blipFill>
                <pic:spPr>
                  <a:xfrm>
                    <a:off x="0" y="0"/>
                    <a:ext cx="7780867" cy="10064141"/>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14ACD2" w14:textId="77777777" w:rsidR="00E45888" w:rsidRPr="00537571" w:rsidRDefault="00E45888" w:rsidP="00537571"/>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26DB0D" w14:textId="77777777" w:rsidR="00E45888" w:rsidRDefault="00E45888"/>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0239C9" w14:textId="77777777" w:rsidR="00E45888" w:rsidRDefault="00E45888">
    <w:r>
      <w:rPr>
        <w:noProof/>
      </w:rPr>
      <w:drawing>
        <wp:anchor distT="0" distB="0" distL="114300" distR="114300" simplePos="0" relativeHeight="251675648" behindDoc="1" locked="0" layoutInCell="1" allowOverlap="1" wp14:anchorId="62EA537D" wp14:editId="5291DA85">
          <wp:simplePos x="0" y="0"/>
          <wp:positionH relativeFrom="column">
            <wp:posOffset>-906569</wp:posOffset>
          </wp:positionH>
          <wp:positionV relativeFrom="page">
            <wp:posOffset>0</wp:posOffset>
          </wp:positionV>
          <wp:extent cx="7770495" cy="10058400"/>
          <wp:effectExtent l="25400" t="0" r="1905" b="0"/>
          <wp:wrapNone/>
          <wp:docPr id="26" name="Picture 26" descr="bg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back.jpg"/>
                  <pic:cNvPicPr/>
                </pic:nvPicPr>
                <pic:blipFill>
                  <a:blip r:embed="rId1"/>
                  <a:stretch>
                    <a:fillRect/>
                  </a:stretch>
                </pic:blipFill>
                <pic:spPr>
                  <a:xfrm>
                    <a:off x="0" y="0"/>
                    <a:ext cx="7770495" cy="100584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02598"/>
    <w:multiLevelType w:val="hybridMultilevel"/>
    <w:tmpl w:val="E47851D0"/>
    <w:lvl w:ilvl="0" w:tplc="436CE188">
      <w:start w:val="1"/>
      <w:numFmt w:val="bullet"/>
      <w:lvlText w:val=""/>
      <w:lvlJc w:val="left"/>
      <w:pPr>
        <w:ind w:left="1440" w:hanging="360"/>
      </w:pPr>
      <w:rPr>
        <w:rFonts w:ascii="Symbol" w:hAnsi="Symbol" w:hint="default"/>
        <w:color w:val="548DD4" w:themeColor="text2" w:themeTint="99"/>
        <w:sz w:val="26"/>
        <w:szCs w:val="2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9A52DD0"/>
    <w:multiLevelType w:val="hybridMultilevel"/>
    <w:tmpl w:val="CA1C23E0"/>
    <w:lvl w:ilvl="0" w:tplc="436CE188">
      <w:start w:val="1"/>
      <w:numFmt w:val="bullet"/>
      <w:lvlText w:val=""/>
      <w:lvlJc w:val="left"/>
      <w:pPr>
        <w:ind w:left="1440" w:hanging="360"/>
      </w:pPr>
      <w:rPr>
        <w:rFonts w:ascii="Symbol" w:hAnsi="Symbol" w:hint="default"/>
        <w:color w:val="548DD4" w:themeColor="text2" w:themeTint="99"/>
        <w:sz w:val="26"/>
        <w:szCs w:val="2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6967CEB"/>
    <w:multiLevelType w:val="hybridMultilevel"/>
    <w:tmpl w:val="46802018"/>
    <w:lvl w:ilvl="0" w:tplc="436CE188">
      <w:start w:val="1"/>
      <w:numFmt w:val="bullet"/>
      <w:lvlText w:val=""/>
      <w:lvlJc w:val="left"/>
      <w:pPr>
        <w:ind w:left="1440" w:hanging="360"/>
      </w:pPr>
      <w:rPr>
        <w:rFonts w:ascii="Symbol" w:hAnsi="Symbol" w:hint="default"/>
        <w:color w:val="548DD4" w:themeColor="text2" w:themeTint="99"/>
        <w:sz w:val="26"/>
        <w:szCs w:val="2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FFE58D2"/>
    <w:multiLevelType w:val="hybridMultilevel"/>
    <w:tmpl w:val="74544376"/>
    <w:lvl w:ilvl="0" w:tplc="D4A8DA78">
      <w:start w:val="1"/>
      <w:numFmt w:val="decimal"/>
      <w:pStyle w:val="endnotetextet"/>
      <w:lvlText w:val="%1."/>
      <w:lvlJc w:val="left"/>
      <w:pPr>
        <w:tabs>
          <w:tab w:val="num" w:pos="1368"/>
        </w:tabs>
        <w:ind w:left="1008" w:firstLine="0"/>
      </w:pPr>
      <w:rPr>
        <w:rFonts w:ascii="Arial Bold" w:hAnsi="Arial Bold" w:hint="default"/>
        <w:b w:val="0"/>
        <w:i w:val="0"/>
        <w:color w:val="333333"/>
        <w:sz w:val="18"/>
        <w:vertAlign w:val="superscrip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4D4F07BC"/>
    <w:multiLevelType w:val="hybridMultilevel"/>
    <w:tmpl w:val="C7221C16"/>
    <w:lvl w:ilvl="0" w:tplc="B56EBDF6">
      <w:start w:val="1"/>
      <w:numFmt w:val="bullet"/>
      <w:lvlText w:val=""/>
      <w:lvlJc w:val="left"/>
      <w:pPr>
        <w:ind w:left="1800" w:hanging="360"/>
      </w:pPr>
      <w:rPr>
        <w:rFonts w:ascii="Symbol" w:hAnsi="Symbol" w:hint="default"/>
        <w:color w:val="548DD4" w:themeColor="text2" w:themeTint="99"/>
        <w:sz w:val="26"/>
        <w:szCs w:val="26"/>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51B01810"/>
    <w:multiLevelType w:val="hybridMultilevel"/>
    <w:tmpl w:val="1492972C"/>
    <w:lvl w:ilvl="0" w:tplc="583C6E4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59B66FDD"/>
    <w:multiLevelType w:val="hybridMultilevel"/>
    <w:tmpl w:val="7550F3A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 w15:restartNumberingAfterBreak="0">
    <w:nsid w:val="5D043F08"/>
    <w:multiLevelType w:val="hybridMultilevel"/>
    <w:tmpl w:val="9D7623D0"/>
    <w:lvl w:ilvl="0" w:tplc="B56EBDF6">
      <w:start w:val="1"/>
      <w:numFmt w:val="bullet"/>
      <w:lvlText w:val=""/>
      <w:lvlJc w:val="left"/>
      <w:pPr>
        <w:ind w:left="2160" w:hanging="720"/>
      </w:pPr>
      <w:rPr>
        <w:rFonts w:ascii="Symbol" w:hAnsi="Symbol" w:hint="default"/>
        <w:color w:val="548DD4" w:themeColor="text2" w:themeTint="99"/>
        <w:sz w:val="26"/>
        <w:szCs w:val="26"/>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5FFB6504"/>
    <w:multiLevelType w:val="hybridMultilevel"/>
    <w:tmpl w:val="1416F3F6"/>
    <w:lvl w:ilvl="0" w:tplc="1E8C2642">
      <w:start w:val="1"/>
      <w:numFmt w:val="bullet"/>
      <w:lvlText w:val=""/>
      <w:lvlJc w:val="left"/>
      <w:pPr>
        <w:ind w:left="1440" w:hanging="360"/>
      </w:pPr>
      <w:rPr>
        <w:rFonts w:ascii="Symbol" w:hAnsi="Symbol" w:hint="default"/>
        <w:color w:val="548DD4" w:themeColor="text2" w:themeTint="99"/>
        <w:sz w:val="26"/>
        <w:szCs w:val="2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601306F9"/>
    <w:multiLevelType w:val="hybridMultilevel"/>
    <w:tmpl w:val="7F708EA2"/>
    <w:lvl w:ilvl="0" w:tplc="B56EBDF6">
      <w:start w:val="1"/>
      <w:numFmt w:val="bullet"/>
      <w:lvlText w:val=""/>
      <w:lvlJc w:val="left"/>
      <w:pPr>
        <w:ind w:left="1440" w:hanging="360"/>
      </w:pPr>
      <w:rPr>
        <w:rFonts w:ascii="Symbol" w:hAnsi="Symbol" w:hint="default"/>
        <w:color w:val="548DD4" w:themeColor="text2" w:themeTint="99"/>
        <w:sz w:val="26"/>
        <w:szCs w:val="2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63C65EC4"/>
    <w:multiLevelType w:val="hybridMultilevel"/>
    <w:tmpl w:val="8FFEAFFA"/>
    <w:lvl w:ilvl="0" w:tplc="B56EBDF6">
      <w:start w:val="1"/>
      <w:numFmt w:val="bullet"/>
      <w:lvlText w:val=""/>
      <w:lvlJc w:val="left"/>
      <w:pPr>
        <w:ind w:left="1440" w:hanging="360"/>
      </w:pPr>
      <w:rPr>
        <w:rFonts w:ascii="Symbol" w:hAnsi="Symbol" w:hint="default"/>
        <w:color w:val="548DD4" w:themeColor="text2" w:themeTint="99"/>
        <w:sz w:val="26"/>
        <w:szCs w:val="2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652A4138"/>
    <w:multiLevelType w:val="hybridMultilevel"/>
    <w:tmpl w:val="8068AF74"/>
    <w:lvl w:ilvl="0" w:tplc="1E8C2642">
      <w:start w:val="1"/>
      <w:numFmt w:val="bullet"/>
      <w:lvlText w:val=""/>
      <w:lvlJc w:val="left"/>
      <w:pPr>
        <w:ind w:left="1440" w:hanging="360"/>
      </w:pPr>
      <w:rPr>
        <w:rFonts w:ascii="Symbol" w:hAnsi="Symbol" w:hint="default"/>
        <w:b w:val="0"/>
        <w:color w:val="548DD4" w:themeColor="text2" w:themeTint="99"/>
        <w:sz w:val="26"/>
        <w:szCs w:val="26"/>
      </w:rPr>
    </w:lvl>
    <w:lvl w:ilvl="1" w:tplc="04090019">
      <w:start w:val="1"/>
      <w:numFmt w:val="lowerLetter"/>
      <w:lvlText w:val="%2."/>
      <w:lvlJc w:val="left"/>
      <w:pPr>
        <w:ind w:left="2160" w:hanging="360"/>
      </w:pPr>
    </w:lvl>
    <w:lvl w:ilvl="2" w:tplc="04090001">
      <w:start w:val="1"/>
      <w:numFmt w:val="bullet"/>
      <w:lvlText w:val=""/>
      <w:lvlJc w:val="left"/>
      <w:pPr>
        <w:ind w:left="3060" w:hanging="360"/>
      </w:pPr>
      <w:rPr>
        <w:rFonts w:ascii="Symbol" w:hAnsi="Symbol" w:hint="default"/>
        <w:b w:val="0"/>
        <w:color w:val="0070C0"/>
      </w:rPr>
    </w:lvl>
    <w:lvl w:ilvl="3" w:tplc="2DA0DCB6">
      <w:start w:val="1"/>
      <w:numFmt w:val="decimal"/>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67A14D1E"/>
    <w:multiLevelType w:val="hybridMultilevel"/>
    <w:tmpl w:val="636A601A"/>
    <w:lvl w:ilvl="0" w:tplc="B56EBDF6">
      <w:start w:val="1"/>
      <w:numFmt w:val="bullet"/>
      <w:lvlText w:val=""/>
      <w:lvlJc w:val="left"/>
      <w:pPr>
        <w:ind w:left="2160" w:hanging="360"/>
      </w:pPr>
      <w:rPr>
        <w:rFonts w:ascii="Symbol" w:hAnsi="Symbol" w:hint="default"/>
        <w:color w:val="548DD4" w:themeColor="text2" w:themeTint="99"/>
        <w:sz w:val="26"/>
        <w:szCs w:val="26"/>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67D17AD7"/>
    <w:multiLevelType w:val="hybridMultilevel"/>
    <w:tmpl w:val="D6EA907A"/>
    <w:lvl w:ilvl="0" w:tplc="436CE188">
      <w:start w:val="1"/>
      <w:numFmt w:val="bullet"/>
      <w:lvlText w:val=""/>
      <w:lvlJc w:val="left"/>
      <w:pPr>
        <w:ind w:left="1440" w:hanging="360"/>
      </w:pPr>
      <w:rPr>
        <w:rFonts w:ascii="Symbol" w:hAnsi="Symbol" w:hint="default"/>
        <w:color w:val="548DD4" w:themeColor="text2" w:themeTint="99"/>
        <w:sz w:val="26"/>
        <w:szCs w:val="26"/>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6CEA0C9C"/>
    <w:multiLevelType w:val="hybridMultilevel"/>
    <w:tmpl w:val="F43AE582"/>
    <w:lvl w:ilvl="0" w:tplc="B56EBDF6">
      <w:start w:val="1"/>
      <w:numFmt w:val="bullet"/>
      <w:lvlText w:val=""/>
      <w:lvlJc w:val="left"/>
      <w:pPr>
        <w:ind w:left="1440" w:hanging="360"/>
      </w:pPr>
      <w:rPr>
        <w:rFonts w:ascii="Symbol" w:hAnsi="Symbol" w:hint="default"/>
        <w:color w:val="548DD4" w:themeColor="text2" w:themeTint="99"/>
        <w:sz w:val="26"/>
        <w:szCs w:val="2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71800A0B"/>
    <w:multiLevelType w:val="hybridMultilevel"/>
    <w:tmpl w:val="ED903268"/>
    <w:lvl w:ilvl="0" w:tplc="B56EBDF6">
      <w:start w:val="1"/>
      <w:numFmt w:val="bullet"/>
      <w:lvlText w:val=""/>
      <w:lvlJc w:val="left"/>
      <w:pPr>
        <w:ind w:left="1440" w:hanging="360"/>
      </w:pPr>
      <w:rPr>
        <w:rFonts w:ascii="Symbol" w:hAnsi="Symbol" w:hint="default"/>
        <w:color w:val="548DD4" w:themeColor="text2" w:themeTint="99"/>
        <w:sz w:val="26"/>
        <w:szCs w:val="2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1"/>
  </w:num>
  <w:num w:numId="3">
    <w:abstractNumId w:val="15"/>
  </w:num>
  <w:num w:numId="4">
    <w:abstractNumId w:val="7"/>
  </w:num>
  <w:num w:numId="5">
    <w:abstractNumId w:val="9"/>
  </w:num>
  <w:num w:numId="6">
    <w:abstractNumId w:val="14"/>
  </w:num>
  <w:num w:numId="7">
    <w:abstractNumId w:val="12"/>
  </w:num>
  <w:num w:numId="8">
    <w:abstractNumId w:val="2"/>
  </w:num>
  <w:num w:numId="9">
    <w:abstractNumId w:val="13"/>
  </w:num>
  <w:num w:numId="10">
    <w:abstractNumId w:val="0"/>
  </w:num>
  <w:num w:numId="11">
    <w:abstractNumId w:val="6"/>
  </w:num>
  <w:num w:numId="12">
    <w:abstractNumId w:val="11"/>
  </w:num>
  <w:num w:numId="13">
    <w:abstractNumId w:val="8"/>
  </w:num>
  <w:num w:numId="14">
    <w:abstractNumId w:val="10"/>
  </w:num>
  <w:num w:numId="15">
    <w:abstractNumId w:val="5"/>
  </w:num>
  <w:num w:numId="16">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activeWritingStyle w:appName="MSWord" w:lang="en-US" w:vendorID="6" w:dllVersion="2" w:checkStyle="1"/>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fill="f" fillcolor="white" strokecolor="#54ac47">
      <v:fill color="white" on="f"/>
      <v:stroke color="#54ac47"/>
      <o:colormru v:ext="edit" colors="#a6bcd7,#dcdcdc,#00467f,#f1f1f1,#d7d7d7,#54ac47,#7986a1,#9eb2b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4736"/>
    <w:rsid w:val="0000081D"/>
    <w:rsid w:val="0000189B"/>
    <w:rsid w:val="00002C1F"/>
    <w:rsid w:val="00003564"/>
    <w:rsid w:val="00013CB7"/>
    <w:rsid w:val="0001745D"/>
    <w:rsid w:val="00020296"/>
    <w:rsid w:val="000210AB"/>
    <w:rsid w:val="00021A97"/>
    <w:rsid w:val="00023F7F"/>
    <w:rsid w:val="00042944"/>
    <w:rsid w:val="00043B1C"/>
    <w:rsid w:val="00050B4C"/>
    <w:rsid w:val="0005198C"/>
    <w:rsid w:val="00053440"/>
    <w:rsid w:val="000574FD"/>
    <w:rsid w:val="0006067A"/>
    <w:rsid w:val="0006079E"/>
    <w:rsid w:val="00063294"/>
    <w:rsid w:val="00064DE6"/>
    <w:rsid w:val="00064F6B"/>
    <w:rsid w:val="00065134"/>
    <w:rsid w:val="0006678A"/>
    <w:rsid w:val="0007796F"/>
    <w:rsid w:val="000848C7"/>
    <w:rsid w:val="00085B7C"/>
    <w:rsid w:val="0009101C"/>
    <w:rsid w:val="00094B2B"/>
    <w:rsid w:val="000977E1"/>
    <w:rsid w:val="00097CC0"/>
    <w:rsid w:val="000A07C3"/>
    <w:rsid w:val="000A0E5C"/>
    <w:rsid w:val="000A34E5"/>
    <w:rsid w:val="000A6ED7"/>
    <w:rsid w:val="000B2333"/>
    <w:rsid w:val="000C3323"/>
    <w:rsid w:val="000C4893"/>
    <w:rsid w:val="000C51BD"/>
    <w:rsid w:val="000D02C7"/>
    <w:rsid w:val="000D1155"/>
    <w:rsid w:val="000D3587"/>
    <w:rsid w:val="000D7FC2"/>
    <w:rsid w:val="000E1217"/>
    <w:rsid w:val="000E2CE6"/>
    <w:rsid w:val="000E4F6E"/>
    <w:rsid w:val="00117C47"/>
    <w:rsid w:val="0012608F"/>
    <w:rsid w:val="001313E4"/>
    <w:rsid w:val="001320D8"/>
    <w:rsid w:val="00132410"/>
    <w:rsid w:val="001374FF"/>
    <w:rsid w:val="0013772E"/>
    <w:rsid w:val="001408B9"/>
    <w:rsid w:val="0014785C"/>
    <w:rsid w:val="00153DB8"/>
    <w:rsid w:val="0017068C"/>
    <w:rsid w:val="00173B41"/>
    <w:rsid w:val="00193DA7"/>
    <w:rsid w:val="00194583"/>
    <w:rsid w:val="001A1C9C"/>
    <w:rsid w:val="001A51C6"/>
    <w:rsid w:val="001A5D59"/>
    <w:rsid w:val="001B7FCA"/>
    <w:rsid w:val="001D12ED"/>
    <w:rsid w:val="001E1916"/>
    <w:rsid w:val="001E265B"/>
    <w:rsid w:val="001E27F1"/>
    <w:rsid w:val="001F69F2"/>
    <w:rsid w:val="00200EA1"/>
    <w:rsid w:val="00207CF4"/>
    <w:rsid w:val="002142F9"/>
    <w:rsid w:val="0022123B"/>
    <w:rsid w:val="002261C0"/>
    <w:rsid w:val="0022782A"/>
    <w:rsid w:val="0023602D"/>
    <w:rsid w:val="0023647F"/>
    <w:rsid w:val="002426DF"/>
    <w:rsid w:val="002529F7"/>
    <w:rsid w:val="00260904"/>
    <w:rsid w:val="00265393"/>
    <w:rsid w:val="00265DA6"/>
    <w:rsid w:val="00266B22"/>
    <w:rsid w:val="00266BBB"/>
    <w:rsid w:val="0027262C"/>
    <w:rsid w:val="00273248"/>
    <w:rsid w:val="00281BB2"/>
    <w:rsid w:val="00282FF3"/>
    <w:rsid w:val="002A3DCE"/>
    <w:rsid w:val="002B5D43"/>
    <w:rsid w:val="002E171E"/>
    <w:rsid w:val="002F6D14"/>
    <w:rsid w:val="00303827"/>
    <w:rsid w:val="0030584A"/>
    <w:rsid w:val="00307682"/>
    <w:rsid w:val="00312659"/>
    <w:rsid w:val="00314AD4"/>
    <w:rsid w:val="00314B36"/>
    <w:rsid w:val="00314F7B"/>
    <w:rsid w:val="003227AF"/>
    <w:rsid w:val="00327572"/>
    <w:rsid w:val="003450FB"/>
    <w:rsid w:val="00346E2D"/>
    <w:rsid w:val="003471DE"/>
    <w:rsid w:val="003530BE"/>
    <w:rsid w:val="003567DF"/>
    <w:rsid w:val="00357742"/>
    <w:rsid w:val="003637C9"/>
    <w:rsid w:val="00363B58"/>
    <w:rsid w:val="0036691D"/>
    <w:rsid w:val="003761DE"/>
    <w:rsid w:val="0037780E"/>
    <w:rsid w:val="003815BC"/>
    <w:rsid w:val="00384FB5"/>
    <w:rsid w:val="00391BDF"/>
    <w:rsid w:val="00393265"/>
    <w:rsid w:val="003A7E80"/>
    <w:rsid w:val="003B0FBA"/>
    <w:rsid w:val="003B44A8"/>
    <w:rsid w:val="003C5443"/>
    <w:rsid w:val="003C5FF8"/>
    <w:rsid w:val="003C7613"/>
    <w:rsid w:val="003D7DAB"/>
    <w:rsid w:val="003F32ED"/>
    <w:rsid w:val="003F5066"/>
    <w:rsid w:val="00401B2E"/>
    <w:rsid w:val="00403110"/>
    <w:rsid w:val="0040679E"/>
    <w:rsid w:val="00414EB3"/>
    <w:rsid w:val="0043060A"/>
    <w:rsid w:val="00433FF1"/>
    <w:rsid w:val="0044101E"/>
    <w:rsid w:val="004426A0"/>
    <w:rsid w:val="00443D80"/>
    <w:rsid w:val="00445DA4"/>
    <w:rsid w:val="00454882"/>
    <w:rsid w:val="004735A0"/>
    <w:rsid w:val="00474504"/>
    <w:rsid w:val="0047458A"/>
    <w:rsid w:val="0047708C"/>
    <w:rsid w:val="00485605"/>
    <w:rsid w:val="004861B2"/>
    <w:rsid w:val="0049002D"/>
    <w:rsid w:val="0049745A"/>
    <w:rsid w:val="004A097D"/>
    <w:rsid w:val="004A2743"/>
    <w:rsid w:val="004A3689"/>
    <w:rsid w:val="004A4D75"/>
    <w:rsid w:val="004A6EF0"/>
    <w:rsid w:val="004B13D9"/>
    <w:rsid w:val="004B2673"/>
    <w:rsid w:val="004C4942"/>
    <w:rsid w:val="004D2C0F"/>
    <w:rsid w:val="004D3884"/>
    <w:rsid w:val="004D5508"/>
    <w:rsid w:val="004E46BA"/>
    <w:rsid w:val="004E58AA"/>
    <w:rsid w:val="004E58D6"/>
    <w:rsid w:val="004F1C42"/>
    <w:rsid w:val="004F38DA"/>
    <w:rsid w:val="004F591B"/>
    <w:rsid w:val="004F61E8"/>
    <w:rsid w:val="0050085D"/>
    <w:rsid w:val="005009D2"/>
    <w:rsid w:val="005022CA"/>
    <w:rsid w:val="00505381"/>
    <w:rsid w:val="00506121"/>
    <w:rsid w:val="005211EA"/>
    <w:rsid w:val="0052212B"/>
    <w:rsid w:val="005223D2"/>
    <w:rsid w:val="00537571"/>
    <w:rsid w:val="00540120"/>
    <w:rsid w:val="00541213"/>
    <w:rsid w:val="00541717"/>
    <w:rsid w:val="00552FCE"/>
    <w:rsid w:val="00561563"/>
    <w:rsid w:val="00573A44"/>
    <w:rsid w:val="00573EDB"/>
    <w:rsid w:val="00575EC3"/>
    <w:rsid w:val="005765B4"/>
    <w:rsid w:val="0058623B"/>
    <w:rsid w:val="005A5AE6"/>
    <w:rsid w:val="005A72D7"/>
    <w:rsid w:val="005A7CEA"/>
    <w:rsid w:val="005C089A"/>
    <w:rsid w:val="005C1F47"/>
    <w:rsid w:val="005C68EF"/>
    <w:rsid w:val="005D2F83"/>
    <w:rsid w:val="005D6665"/>
    <w:rsid w:val="005D6675"/>
    <w:rsid w:val="005D7763"/>
    <w:rsid w:val="005E4C4C"/>
    <w:rsid w:val="005E7DB0"/>
    <w:rsid w:val="005F2DEC"/>
    <w:rsid w:val="006058AF"/>
    <w:rsid w:val="0060733C"/>
    <w:rsid w:val="00610866"/>
    <w:rsid w:val="00613EEF"/>
    <w:rsid w:val="006213EC"/>
    <w:rsid w:val="006226BE"/>
    <w:rsid w:val="006248E7"/>
    <w:rsid w:val="00630145"/>
    <w:rsid w:val="00643AB1"/>
    <w:rsid w:val="006457DF"/>
    <w:rsid w:val="00647BE7"/>
    <w:rsid w:val="00656770"/>
    <w:rsid w:val="0066347D"/>
    <w:rsid w:val="00663A45"/>
    <w:rsid w:val="006709C7"/>
    <w:rsid w:val="00670F46"/>
    <w:rsid w:val="00673D0F"/>
    <w:rsid w:val="00680599"/>
    <w:rsid w:val="00684171"/>
    <w:rsid w:val="00696F67"/>
    <w:rsid w:val="006A5D73"/>
    <w:rsid w:val="006A6134"/>
    <w:rsid w:val="006B0DE4"/>
    <w:rsid w:val="006C54C4"/>
    <w:rsid w:val="006D51BC"/>
    <w:rsid w:val="006D6E92"/>
    <w:rsid w:val="006E2467"/>
    <w:rsid w:val="006E3536"/>
    <w:rsid w:val="006E532F"/>
    <w:rsid w:val="006F193B"/>
    <w:rsid w:val="006F23B8"/>
    <w:rsid w:val="006F31D1"/>
    <w:rsid w:val="006F3CD6"/>
    <w:rsid w:val="007034F6"/>
    <w:rsid w:val="00703F32"/>
    <w:rsid w:val="00710C4E"/>
    <w:rsid w:val="0072022E"/>
    <w:rsid w:val="00723953"/>
    <w:rsid w:val="00727F7A"/>
    <w:rsid w:val="007341CB"/>
    <w:rsid w:val="00740531"/>
    <w:rsid w:val="00744877"/>
    <w:rsid w:val="00745B7D"/>
    <w:rsid w:val="00747835"/>
    <w:rsid w:val="00763EE7"/>
    <w:rsid w:val="00767903"/>
    <w:rsid w:val="0078303F"/>
    <w:rsid w:val="00786625"/>
    <w:rsid w:val="007877E1"/>
    <w:rsid w:val="00790CD5"/>
    <w:rsid w:val="007A2C29"/>
    <w:rsid w:val="007A2ECA"/>
    <w:rsid w:val="007B3125"/>
    <w:rsid w:val="007C400D"/>
    <w:rsid w:val="007C5ADB"/>
    <w:rsid w:val="007C64A8"/>
    <w:rsid w:val="007D00FF"/>
    <w:rsid w:val="007D1885"/>
    <w:rsid w:val="007D199B"/>
    <w:rsid w:val="007D5BCB"/>
    <w:rsid w:val="007D74F0"/>
    <w:rsid w:val="007E1AF7"/>
    <w:rsid w:val="007F5376"/>
    <w:rsid w:val="0080103C"/>
    <w:rsid w:val="008102A4"/>
    <w:rsid w:val="00812F68"/>
    <w:rsid w:val="00812FA0"/>
    <w:rsid w:val="00826740"/>
    <w:rsid w:val="00827F1F"/>
    <w:rsid w:val="00830105"/>
    <w:rsid w:val="0083534F"/>
    <w:rsid w:val="008374C3"/>
    <w:rsid w:val="00837603"/>
    <w:rsid w:val="0084697C"/>
    <w:rsid w:val="00862E2B"/>
    <w:rsid w:val="0086620E"/>
    <w:rsid w:val="008770F8"/>
    <w:rsid w:val="00884663"/>
    <w:rsid w:val="00890B2C"/>
    <w:rsid w:val="008938EF"/>
    <w:rsid w:val="008A2578"/>
    <w:rsid w:val="008B29B7"/>
    <w:rsid w:val="008B6C13"/>
    <w:rsid w:val="008C2AAB"/>
    <w:rsid w:val="008D3292"/>
    <w:rsid w:val="008E044C"/>
    <w:rsid w:val="008E3CEC"/>
    <w:rsid w:val="008E7805"/>
    <w:rsid w:val="00900C64"/>
    <w:rsid w:val="00900D48"/>
    <w:rsid w:val="009068CC"/>
    <w:rsid w:val="009147BF"/>
    <w:rsid w:val="0092043E"/>
    <w:rsid w:val="009222EA"/>
    <w:rsid w:val="0092483C"/>
    <w:rsid w:val="0092506C"/>
    <w:rsid w:val="0092612C"/>
    <w:rsid w:val="0092718F"/>
    <w:rsid w:val="009318AB"/>
    <w:rsid w:val="00931B0B"/>
    <w:rsid w:val="009353E3"/>
    <w:rsid w:val="00936792"/>
    <w:rsid w:val="00937A49"/>
    <w:rsid w:val="009414A9"/>
    <w:rsid w:val="0094327D"/>
    <w:rsid w:val="00944FB6"/>
    <w:rsid w:val="00955789"/>
    <w:rsid w:val="009701B9"/>
    <w:rsid w:val="00971D69"/>
    <w:rsid w:val="00981B22"/>
    <w:rsid w:val="0098371F"/>
    <w:rsid w:val="00983E47"/>
    <w:rsid w:val="00987513"/>
    <w:rsid w:val="00993965"/>
    <w:rsid w:val="009947EA"/>
    <w:rsid w:val="00994C34"/>
    <w:rsid w:val="009A148D"/>
    <w:rsid w:val="009A169F"/>
    <w:rsid w:val="009B2F32"/>
    <w:rsid w:val="009C41DD"/>
    <w:rsid w:val="009C6CF9"/>
    <w:rsid w:val="009D0BA8"/>
    <w:rsid w:val="009D23DB"/>
    <w:rsid w:val="009D26F5"/>
    <w:rsid w:val="009D2C52"/>
    <w:rsid w:val="009E41F0"/>
    <w:rsid w:val="009E6850"/>
    <w:rsid w:val="009F32DB"/>
    <w:rsid w:val="009F47C1"/>
    <w:rsid w:val="009F7BD8"/>
    <w:rsid w:val="00A01C86"/>
    <w:rsid w:val="00A025D9"/>
    <w:rsid w:val="00A07E21"/>
    <w:rsid w:val="00A13B6B"/>
    <w:rsid w:val="00A27FB1"/>
    <w:rsid w:val="00A3059C"/>
    <w:rsid w:val="00A33ACB"/>
    <w:rsid w:val="00A33F78"/>
    <w:rsid w:val="00A346D3"/>
    <w:rsid w:val="00A4750B"/>
    <w:rsid w:val="00A51A38"/>
    <w:rsid w:val="00A549D4"/>
    <w:rsid w:val="00A64DB5"/>
    <w:rsid w:val="00A67B55"/>
    <w:rsid w:val="00A71A5F"/>
    <w:rsid w:val="00A72477"/>
    <w:rsid w:val="00A75EA3"/>
    <w:rsid w:val="00A800FB"/>
    <w:rsid w:val="00A82565"/>
    <w:rsid w:val="00A831AA"/>
    <w:rsid w:val="00A85EC4"/>
    <w:rsid w:val="00A929CA"/>
    <w:rsid w:val="00AA2811"/>
    <w:rsid w:val="00AA5034"/>
    <w:rsid w:val="00AB0098"/>
    <w:rsid w:val="00AB1E9C"/>
    <w:rsid w:val="00AB3011"/>
    <w:rsid w:val="00AB429B"/>
    <w:rsid w:val="00AC49B5"/>
    <w:rsid w:val="00AE7513"/>
    <w:rsid w:val="00AF1C99"/>
    <w:rsid w:val="00AF2DE7"/>
    <w:rsid w:val="00AF4A5A"/>
    <w:rsid w:val="00AF5910"/>
    <w:rsid w:val="00AF5B1B"/>
    <w:rsid w:val="00B07562"/>
    <w:rsid w:val="00B13405"/>
    <w:rsid w:val="00B15868"/>
    <w:rsid w:val="00B162A3"/>
    <w:rsid w:val="00B240C6"/>
    <w:rsid w:val="00B251C1"/>
    <w:rsid w:val="00B30166"/>
    <w:rsid w:val="00B30204"/>
    <w:rsid w:val="00B32E76"/>
    <w:rsid w:val="00B33B90"/>
    <w:rsid w:val="00B343A2"/>
    <w:rsid w:val="00B5481E"/>
    <w:rsid w:val="00B57455"/>
    <w:rsid w:val="00B67C6D"/>
    <w:rsid w:val="00B714B1"/>
    <w:rsid w:val="00B76A74"/>
    <w:rsid w:val="00B83B99"/>
    <w:rsid w:val="00B84416"/>
    <w:rsid w:val="00B84A55"/>
    <w:rsid w:val="00B85731"/>
    <w:rsid w:val="00B861B9"/>
    <w:rsid w:val="00B9028D"/>
    <w:rsid w:val="00B9168E"/>
    <w:rsid w:val="00B918FF"/>
    <w:rsid w:val="00BA502D"/>
    <w:rsid w:val="00BA712A"/>
    <w:rsid w:val="00BB444E"/>
    <w:rsid w:val="00BC1CCE"/>
    <w:rsid w:val="00BC1D6A"/>
    <w:rsid w:val="00BC43B0"/>
    <w:rsid w:val="00BC661D"/>
    <w:rsid w:val="00BD52C0"/>
    <w:rsid w:val="00BD5F6F"/>
    <w:rsid w:val="00BD6440"/>
    <w:rsid w:val="00BF12B4"/>
    <w:rsid w:val="00BF2507"/>
    <w:rsid w:val="00BF4D2C"/>
    <w:rsid w:val="00BF53D0"/>
    <w:rsid w:val="00BF6178"/>
    <w:rsid w:val="00C006F8"/>
    <w:rsid w:val="00C076D1"/>
    <w:rsid w:val="00C13187"/>
    <w:rsid w:val="00C132E5"/>
    <w:rsid w:val="00C22908"/>
    <w:rsid w:val="00C355C4"/>
    <w:rsid w:val="00C42F1D"/>
    <w:rsid w:val="00C43EBE"/>
    <w:rsid w:val="00C5379F"/>
    <w:rsid w:val="00C54ACF"/>
    <w:rsid w:val="00C6455B"/>
    <w:rsid w:val="00C663B3"/>
    <w:rsid w:val="00C7016A"/>
    <w:rsid w:val="00C71D6A"/>
    <w:rsid w:val="00C750FE"/>
    <w:rsid w:val="00C83CAC"/>
    <w:rsid w:val="00C845FE"/>
    <w:rsid w:val="00C849AD"/>
    <w:rsid w:val="00C92B2D"/>
    <w:rsid w:val="00C93652"/>
    <w:rsid w:val="00CA4B15"/>
    <w:rsid w:val="00CB27FA"/>
    <w:rsid w:val="00CB2B11"/>
    <w:rsid w:val="00CB3748"/>
    <w:rsid w:val="00CB4EBA"/>
    <w:rsid w:val="00CD1BD4"/>
    <w:rsid w:val="00CD601C"/>
    <w:rsid w:val="00CD76D1"/>
    <w:rsid w:val="00CE31A0"/>
    <w:rsid w:val="00CE51E4"/>
    <w:rsid w:val="00CE7F14"/>
    <w:rsid w:val="00CF45FD"/>
    <w:rsid w:val="00CF77D7"/>
    <w:rsid w:val="00D2262D"/>
    <w:rsid w:val="00D2323E"/>
    <w:rsid w:val="00D2548C"/>
    <w:rsid w:val="00D34523"/>
    <w:rsid w:val="00D36D08"/>
    <w:rsid w:val="00D4079E"/>
    <w:rsid w:val="00D434F8"/>
    <w:rsid w:val="00D436D8"/>
    <w:rsid w:val="00D4407F"/>
    <w:rsid w:val="00D4510B"/>
    <w:rsid w:val="00D5006D"/>
    <w:rsid w:val="00D6068A"/>
    <w:rsid w:val="00D628AE"/>
    <w:rsid w:val="00D65219"/>
    <w:rsid w:val="00D71C75"/>
    <w:rsid w:val="00D73C8D"/>
    <w:rsid w:val="00D7682B"/>
    <w:rsid w:val="00D858B1"/>
    <w:rsid w:val="00D876B6"/>
    <w:rsid w:val="00DA4831"/>
    <w:rsid w:val="00DA6257"/>
    <w:rsid w:val="00DA62B6"/>
    <w:rsid w:val="00DB05C2"/>
    <w:rsid w:val="00DB7D34"/>
    <w:rsid w:val="00DD2078"/>
    <w:rsid w:val="00DE4016"/>
    <w:rsid w:val="00DE4120"/>
    <w:rsid w:val="00DE4681"/>
    <w:rsid w:val="00DE4EDE"/>
    <w:rsid w:val="00DF3C0A"/>
    <w:rsid w:val="00E0042C"/>
    <w:rsid w:val="00E134AF"/>
    <w:rsid w:val="00E14866"/>
    <w:rsid w:val="00E16CE2"/>
    <w:rsid w:val="00E207B0"/>
    <w:rsid w:val="00E2182B"/>
    <w:rsid w:val="00E2260E"/>
    <w:rsid w:val="00E33181"/>
    <w:rsid w:val="00E345C3"/>
    <w:rsid w:val="00E35CBF"/>
    <w:rsid w:val="00E45888"/>
    <w:rsid w:val="00E608B9"/>
    <w:rsid w:val="00E65322"/>
    <w:rsid w:val="00E723D3"/>
    <w:rsid w:val="00E74FDE"/>
    <w:rsid w:val="00E7662E"/>
    <w:rsid w:val="00E907F2"/>
    <w:rsid w:val="00E94376"/>
    <w:rsid w:val="00EA37F4"/>
    <w:rsid w:val="00EB7F9C"/>
    <w:rsid w:val="00EC2742"/>
    <w:rsid w:val="00EC278B"/>
    <w:rsid w:val="00ED44C9"/>
    <w:rsid w:val="00ED78E5"/>
    <w:rsid w:val="00EE025F"/>
    <w:rsid w:val="00EE6ACD"/>
    <w:rsid w:val="00EE7848"/>
    <w:rsid w:val="00EF0E23"/>
    <w:rsid w:val="00EF1B63"/>
    <w:rsid w:val="00F06162"/>
    <w:rsid w:val="00F3080F"/>
    <w:rsid w:val="00F3462A"/>
    <w:rsid w:val="00F3701C"/>
    <w:rsid w:val="00F409B9"/>
    <w:rsid w:val="00F425C3"/>
    <w:rsid w:val="00F45A18"/>
    <w:rsid w:val="00F50BD1"/>
    <w:rsid w:val="00F5138E"/>
    <w:rsid w:val="00F55E2F"/>
    <w:rsid w:val="00F7406F"/>
    <w:rsid w:val="00F7675E"/>
    <w:rsid w:val="00F812FE"/>
    <w:rsid w:val="00F814FD"/>
    <w:rsid w:val="00F83A31"/>
    <w:rsid w:val="00F84B7D"/>
    <w:rsid w:val="00F94A2D"/>
    <w:rsid w:val="00F96AE7"/>
    <w:rsid w:val="00F9784C"/>
    <w:rsid w:val="00FA5343"/>
    <w:rsid w:val="00FA6089"/>
    <w:rsid w:val="00FA6C9E"/>
    <w:rsid w:val="00FA785E"/>
    <w:rsid w:val="00FB25E2"/>
    <w:rsid w:val="00FB2F40"/>
    <w:rsid w:val="00FB4F3F"/>
    <w:rsid w:val="00FB57C6"/>
    <w:rsid w:val="00FB6D62"/>
    <w:rsid w:val="00FC108C"/>
    <w:rsid w:val="00FC547D"/>
    <w:rsid w:val="00FC5D3B"/>
    <w:rsid w:val="00FD4736"/>
    <w:rsid w:val="00FF42E9"/>
    <w:rsid w:val="00FF4535"/>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color="#54ac47">
      <v:fill color="white" on="f"/>
      <v:stroke color="#54ac47"/>
      <o:colormru v:ext="edit" colors="#a6bcd7,#dcdcdc,#00467f,#f1f1f1,#d7d7d7,#54ac47,#7986a1,#9eb2b8"/>
    </o:shapedefaults>
    <o:shapelayout v:ext="edit">
      <o:idmap v:ext="edit" data="1"/>
    </o:shapelayout>
  </w:shapeDefaults>
  <w:decimalSymbol w:val="."/>
  <w:listSeparator w:val=","/>
  <w14:docId w14:val="7502480E"/>
  <w15:docId w15:val="{7F75FA47-8E47-4BF7-A113-3D88BFC71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4">
    <w:lsdException w:name="heading 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7A06C0"/>
    <w:rPr>
      <w:color w:val="000000" w:themeColor="text1"/>
    </w:rPr>
  </w:style>
  <w:style w:type="paragraph" w:styleId="Heading1">
    <w:name w:val="heading 1"/>
    <w:next w:val="body"/>
    <w:link w:val="Heading1Char"/>
    <w:qFormat/>
    <w:rsid w:val="00A07E21"/>
    <w:pPr>
      <w:keepNext/>
      <w:keepLines/>
      <w:spacing w:before="500" w:after="100" w:line="360" w:lineRule="atLeast"/>
      <w:outlineLvl w:val="0"/>
    </w:pPr>
    <w:rPr>
      <w:rFonts w:ascii="Century Gothic" w:hAnsi="Century Gothic"/>
      <w:color w:val="548DD4" w:themeColor="text2" w:themeTint="99"/>
      <w:sz w:val="30"/>
    </w:rPr>
  </w:style>
  <w:style w:type="paragraph" w:styleId="Heading2">
    <w:name w:val="heading 2"/>
    <w:next w:val="body"/>
    <w:link w:val="Heading2Char"/>
    <w:rsid w:val="00A07E21"/>
    <w:pPr>
      <w:keepNext/>
      <w:keepLines/>
      <w:autoSpaceDE w:val="0"/>
      <w:autoSpaceDN w:val="0"/>
      <w:adjustRightInd w:val="0"/>
      <w:spacing w:before="300" w:after="40" w:line="300" w:lineRule="atLeast"/>
      <w:ind w:left="720"/>
      <w:textAlignment w:val="center"/>
      <w:outlineLvl w:val="1"/>
    </w:pPr>
    <w:rPr>
      <w:rFonts w:ascii="Century Gothic" w:hAnsi="Century Gothic"/>
      <w:b/>
      <w:color w:val="00467F"/>
    </w:rPr>
  </w:style>
  <w:style w:type="paragraph" w:styleId="Heading3">
    <w:name w:val="heading 3"/>
    <w:next w:val="body"/>
    <w:link w:val="Heading3Char"/>
    <w:rsid w:val="00A07E21"/>
    <w:pPr>
      <w:keepNext/>
      <w:keepLines/>
      <w:autoSpaceDE w:val="0"/>
      <w:autoSpaceDN w:val="0"/>
      <w:adjustRightInd w:val="0"/>
      <w:spacing w:before="240" w:after="80" w:line="250" w:lineRule="atLeast"/>
      <w:ind w:left="720"/>
      <w:textAlignment w:val="center"/>
      <w:outlineLvl w:val="2"/>
    </w:pPr>
    <w:rPr>
      <w:rFonts w:ascii="Constantia" w:hAnsi="Constantia"/>
      <w:i/>
      <w:color w:val="0046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A07E21"/>
    <w:rPr>
      <w:rFonts w:ascii="Constantia" w:hAnsi="Constantia"/>
      <w:i/>
      <w:color w:val="00467F"/>
    </w:rPr>
  </w:style>
  <w:style w:type="paragraph" w:customStyle="1" w:styleId="contents-h1">
    <w:name w:val="contents-h1"/>
    <w:basedOn w:val="Normal"/>
    <w:rsid w:val="000F3B56"/>
    <w:pPr>
      <w:framePr w:hSpace="180" w:wrap="around" w:vAnchor="text" w:hAnchor="page" w:x="4474" w:y="1182"/>
      <w:widowControl w:val="0"/>
      <w:autoSpaceDE w:val="0"/>
      <w:autoSpaceDN w:val="0"/>
      <w:adjustRightInd w:val="0"/>
      <w:spacing w:before="160" w:after="120" w:line="248" w:lineRule="atLeast"/>
      <w:textAlignment w:val="center"/>
    </w:pPr>
    <w:rPr>
      <w:rFonts w:ascii="Century Gothic" w:hAnsi="Century Gothic"/>
      <w:b/>
      <w:color w:val="00467F"/>
      <w:position w:val="-8"/>
    </w:rPr>
  </w:style>
  <w:style w:type="paragraph" w:customStyle="1" w:styleId="contentstoc">
    <w:name w:val="contents(toc)"/>
    <w:basedOn w:val="Normal"/>
    <w:rsid w:val="00FB57C6"/>
    <w:pPr>
      <w:widowControl w:val="0"/>
      <w:autoSpaceDE w:val="0"/>
      <w:autoSpaceDN w:val="0"/>
      <w:adjustRightInd w:val="0"/>
      <w:spacing w:line="288" w:lineRule="auto"/>
      <w:textAlignment w:val="center"/>
    </w:pPr>
    <w:rPr>
      <w:rFonts w:ascii="Arial" w:hAnsi="Arial"/>
      <w:color w:val="00467F"/>
      <w:sz w:val="30"/>
    </w:rPr>
  </w:style>
  <w:style w:type="paragraph" w:customStyle="1" w:styleId="chaptersectionhead">
    <w:name w:val="chapter/section head"/>
    <w:rsid w:val="00936792"/>
    <w:pPr>
      <w:keepNext/>
      <w:pageBreakBefore/>
      <w:widowControl w:val="0"/>
      <w:autoSpaceDE w:val="0"/>
      <w:autoSpaceDN w:val="0"/>
      <w:adjustRightInd w:val="0"/>
      <w:spacing w:after="120" w:line="496" w:lineRule="atLeast"/>
      <w:textAlignment w:val="center"/>
      <w:outlineLvl w:val="0"/>
    </w:pPr>
    <w:rPr>
      <w:rFonts w:ascii="Century Gothic" w:hAnsi="Century Gothic"/>
      <w:color w:val="00467F"/>
      <w:sz w:val="56"/>
    </w:rPr>
  </w:style>
  <w:style w:type="character" w:customStyle="1" w:styleId="HeadingLevel4">
    <w:name w:val="Heading Level 4"/>
    <w:rsid w:val="004F1C42"/>
    <w:rPr>
      <w:b/>
      <w:color w:val="548DD4" w:themeColor="text2" w:themeTint="99"/>
    </w:rPr>
  </w:style>
  <w:style w:type="paragraph" w:customStyle="1" w:styleId="charttitle">
    <w:name w:val="chart title"/>
    <w:autoRedefine/>
    <w:rsid w:val="00AF5B1B"/>
    <w:pPr>
      <w:spacing w:line="260" w:lineRule="atLeast"/>
    </w:pPr>
    <w:rPr>
      <w:rFonts w:ascii="Century Gothic" w:hAnsi="Century Gothic"/>
      <w:b/>
      <w:color w:val="00467F"/>
      <w:spacing w:val="-2"/>
      <w:sz w:val="20"/>
    </w:rPr>
  </w:style>
  <w:style w:type="paragraph" w:customStyle="1" w:styleId="chartdescriptioncd">
    <w:name w:val="chart description(cd)"/>
    <w:rsid w:val="00AF5B1B"/>
    <w:pPr>
      <w:widowControl w:val="0"/>
      <w:autoSpaceDE w:val="0"/>
      <w:autoSpaceDN w:val="0"/>
      <w:adjustRightInd w:val="0"/>
      <w:spacing w:before="90" w:after="90" w:line="240" w:lineRule="atLeast"/>
      <w:textAlignment w:val="center"/>
    </w:pPr>
    <w:rPr>
      <w:rFonts w:ascii="Century Gothic" w:hAnsi="Century Gothic"/>
      <w:b/>
      <w:i/>
      <w:color w:val="00467F"/>
      <w:spacing w:val="3"/>
      <w:sz w:val="16"/>
    </w:rPr>
  </w:style>
  <w:style w:type="paragraph" w:customStyle="1" w:styleId="tableheadth">
    <w:name w:val="table head (th)"/>
    <w:basedOn w:val="tableheadstyle2"/>
    <w:rsid w:val="00AF5B1B"/>
    <w:pPr>
      <w:spacing w:before="84" w:after="84"/>
      <w:jc w:val="center"/>
    </w:pPr>
    <w:rPr>
      <w:b w:val="0"/>
      <w:i w:val="0"/>
      <w:color w:val="FFFFFF"/>
      <w:sz w:val="20"/>
    </w:rPr>
  </w:style>
  <w:style w:type="paragraph" w:customStyle="1" w:styleId="endnotetextet">
    <w:name w:val="endnote text(et)"/>
    <w:rsid w:val="00AF5B1B"/>
    <w:pPr>
      <w:widowControl w:val="0"/>
      <w:numPr>
        <w:numId w:val="1"/>
      </w:numPr>
      <w:tabs>
        <w:tab w:val="left" w:pos="20"/>
        <w:tab w:val="left" w:pos="100"/>
      </w:tabs>
      <w:autoSpaceDE w:val="0"/>
      <w:autoSpaceDN w:val="0"/>
      <w:adjustRightInd w:val="0"/>
      <w:spacing w:after="160" w:line="220" w:lineRule="atLeast"/>
      <w:ind w:right="1008"/>
      <w:jc w:val="both"/>
      <w:textAlignment w:val="center"/>
    </w:pPr>
    <w:rPr>
      <w:rFonts w:ascii="Century Gothic" w:hAnsi="Century Gothic"/>
      <w:color w:val="000000"/>
      <w:sz w:val="18"/>
    </w:rPr>
  </w:style>
  <w:style w:type="paragraph" w:customStyle="1" w:styleId="charttextct">
    <w:name w:val="chart text(ct)"/>
    <w:basedOn w:val="Normal"/>
    <w:rsid w:val="00880201"/>
    <w:pPr>
      <w:spacing w:line="304" w:lineRule="atLeast"/>
    </w:pPr>
    <w:rPr>
      <w:rFonts w:ascii="ArialMT" w:hAnsi="ArialMT"/>
      <w:color w:val="333333"/>
      <w:spacing w:val="3"/>
      <w:sz w:val="16"/>
    </w:rPr>
  </w:style>
  <w:style w:type="paragraph" w:styleId="Date">
    <w:name w:val="Date"/>
    <w:aliases w:val="Cover Date/Program name"/>
    <w:basedOn w:val="Normal"/>
    <w:next w:val="Normal"/>
    <w:rsid w:val="00573EDB"/>
    <w:pPr>
      <w:widowControl w:val="0"/>
      <w:autoSpaceDE w:val="0"/>
      <w:autoSpaceDN w:val="0"/>
      <w:adjustRightInd w:val="0"/>
      <w:spacing w:before="480"/>
      <w:ind w:left="6307"/>
      <w:textAlignment w:val="center"/>
    </w:pPr>
    <w:rPr>
      <w:rFonts w:ascii="Century Gothic" w:hAnsi="Century Gothic"/>
    </w:rPr>
  </w:style>
  <w:style w:type="paragraph" w:customStyle="1" w:styleId="coverdetailsdate">
    <w:name w:val="cover details (date"/>
    <w:aliases w:val="doc#,etc)"/>
    <w:basedOn w:val="Normal"/>
    <w:rsid w:val="00573EDB"/>
    <w:pPr>
      <w:widowControl w:val="0"/>
      <w:autoSpaceDE w:val="0"/>
      <w:autoSpaceDN w:val="0"/>
      <w:adjustRightInd w:val="0"/>
      <w:spacing w:before="600" w:after="115" w:line="288" w:lineRule="auto"/>
      <w:ind w:left="6480"/>
      <w:textAlignment w:val="center"/>
    </w:pPr>
    <w:rPr>
      <w:rFonts w:ascii="Century Gothic" w:hAnsi="Century Gothic"/>
      <w:sz w:val="22"/>
    </w:rPr>
  </w:style>
  <w:style w:type="paragraph" w:customStyle="1" w:styleId="contentsheader">
    <w:name w:val="contents header"/>
    <w:basedOn w:val="Normal"/>
    <w:rsid w:val="00506121"/>
    <w:pPr>
      <w:spacing w:before="360" w:after="160"/>
      <w:ind w:left="720"/>
    </w:pPr>
    <w:rPr>
      <w:rFonts w:ascii="Century Gothic" w:hAnsi="Century Gothic"/>
      <w:color w:val="808080" w:themeColor="background1" w:themeShade="80"/>
      <w:sz w:val="100"/>
    </w:rPr>
  </w:style>
  <w:style w:type="paragraph" w:customStyle="1" w:styleId="body">
    <w:name w:val="body"/>
    <w:rsid w:val="00936792"/>
    <w:pPr>
      <w:autoSpaceDE w:val="0"/>
      <w:autoSpaceDN w:val="0"/>
      <w:adjustRightInd w:val="0"/>
      <w:spacing w:after="100" w:line="340" w:lineRule="atLeast"/>
      <w:ind w:left="720"/>
      <w:textAlignment w:val="center"/>
    </w:pPr>
    <w:rPr>
      <w:rFonts w:ascii="Constantia" w:hAnsi="Constantia"/>
      <w:color w:val="000000"/>
      <w:sz w:val="22"/>
    </w:rPr>
  </w:style>
  <w:style w:type="character" w:customStyle="1" w:styleId="Heading2Char">
    <w:name w:val="Heading 2 Char"/>
    <w:basedOn w:val="DefaultParagraphFont"/>
    <w:link w:val="Heading2"/>
    <w:rsid w:val="00A07E21"/>
    <w:rPr>
      <w:rFonts w:ascii="Century Gothic" w:hAnsi="Century Gothic"/>
      <w:b/>
      <w:color w:val="00467F"/>
    </w:rPr>
  </w:style>
  <w:style w:type="paragraph" w:customStyle="1" w:styleId="pullquote">
    <w:name w:val="pullquote"/>
    <w:rsid w:val="00936792"/>
    <w:pPr>
      <w:framePr w:w="4953" w:h="3312" w:hRule="exact" w:hSpace="216" w:vSpace="187" w:wrap="around" w:vAnchor="text" w:hAnchor="page" w:x="7279" w:y="220"/>
      <w:widowControl w:val="0"/>
      <w:autoSpaceDE w:val="0"/>
      <w:autoSpaceDN w:val="0"/>
      <w:adjustRightInd w:val="0"/>
      <w:spacing w:line="360" w:lineRule="atLeast"/>
      <w:textAlignment w:val="center"/>
    </w:pPr>
    <w:rPr>
      <w:rFonts w:ascii="Century Gothic" w:hAnsi="Century Gothic"/>
      <w:b/>
      <w:i/>
      <w:color w:val="31849B" w:themeColor="accent5" w:themeShade="BF"/>
      <w:spacing w:val="4"/>
      <w:sz w:val="20"/>
    </w:rPr>
  </w:style>
  <w:style w:type="paragraph" w:customStyle="1" w:styleId="bullets">
    <w:name w:val="bullets"/>
    <w:basedOn w:val="body"/>
    <w:rsid w:val="0037780E"/>
    <w:pPr>
      <w:spacing w:line="260" w:lineRule="atLeast"/>
      <w:ind w:left="0"/>
    </w:pPr>
    <w:rPr>
      <w:spacing w:val="4"/>
    </w:rPr>
  </w:style>
  <w:style w:type="paragraph" w:customStyle="1" w:styleId="numberedlist">
    <w:name w:val="numbered list"/>
    <w:basedOn w:val="bullets"/>
    <w:rsid w:val="0037780E"/>
  </w:style>
  <w:style w:type="paragraph" w:customStyle="1" w:styleId="boxh1">
    <w:name w:val="box h1"/>
    <w:rsid w:val="00AF5B1B"/>
    <w:pPr>
      <w:widowControl w:val="0"/>
      <w:pBdr>
        <w:bottom w:val="single" w:sz="4" w:space="5" w:color="FFFFFF"/>
      </w:pBdr>
      <w:autoSpaceDE w:val="0"/>
      <w:autoSpaceDN w:val="0"/>
      <w:adjustRightInd w:val="0"/>
      <w:spacing w:after="180" w:line="520" w:lineRule="atLeast"/>
      <w:ind w:left="450" w:right="394"/>
      <w:textAlignment w:val="center"/>
    </w:pPr>
    <w:rPr>
      <w:rFonts w:ascii="Century Gothic" w:hAnsi="Century Gothic"/>
      <w:color w:val="FFFFFF"/>
      <w:sz w:val="36"/>
    </w:rPr>
  </w:style>
  <w:style w:type="paragraph" w:customStyle="1" w:styleId="boxbody">
    <w:name w:val="box body"/>
    <w:rsid w:val="00AF5B1B"/>
    <w:pPr>
      <w:widowControl w:val="0"/>
      <w:autoSpaceDE w:val="0"/>
      <w:autoSpaceDN w:val="0"/>
      <w:adjustRightInd w:val="0"/>
      <w:spacing w:before="72" w:after="72" w:line="260" w:lineRule="atLeast"/>
      <w:ind w:left="450" w:right="394"/>
      <w:textAlignment w:val="center"/>
    </w:pPr>
    <w:rPr>
      <w:rFonts w:ascii="Century Gothic" w:hAnsi="Century Gothic"/>
      <w:color w:val="000000"/>
      <w:spacing w:val="3"/>
      <w:sz w:val="18"/>
    </w:rPr>
  </w:style>
  <w:style w:type="paragraph" w:customStyle="1" w:styleId="boxh2">
    <w:name w:val="box h2"/>
    <w:rsid w:val="00AF5B1B"/>
    <w:pPr>
      <w:widowControl w:val="0"/>
      <w:autoSpaceDE w:val="0"/>
      <w:autoSpaceDN w:val="0"/>
      <w:adjustRightInd w:val="0"/>
      <w:spacing w:before="240" w:after="120" w:line="240" w:lineRule="atLeast"/>
      <w:ind w:right="576"/>
      <w:textAlignment w:val="center"/>
    </w:pPr>
    <w:rPr>
      <w:rFonts w:ascii="Century Gothic" w:hAnsi="Century Gothic"/>
      <w:b/>
      <w:color w:val="094979"/>
      <w:sz w:val="20"/>
    </w:rPr>
  </w:style>
  <w:style w:type="paragraph" w:styleId="Footer">
    <w:name w:val="footer"/>
    <w:basedOn w:val="Normal"/>
    <w:rsid w:val="00581F63"/>
    <w:pPr>
      <w:tabs>
        <w:tab w:val="center" w:pos="4320"/>
        <w:tab w:val="right" w:pos="8640"/>
      </w:tabs>
    </w:pPr>
  </w:style>
  <w:style w:type="paragraph" w:customStyle="1" w:styleId="ChapterSectionSubhead">
    <w:name w:val="Chapter/Section Subhead"/>
    <w:rsid w:val="00936792"/>
    <w:pPr>
      <w:widowControl w:val="0"/>
      <w:autoSpaceDE w:val="0"/>
      <w:autoSpaceDN w:val="0"/>
      <w:adjustRightInd w:val="0"/>
      <w:spacing w:after="29" w:line="360" w:lineRule="atLeast"/>
      <w:textAlignment w:val="center"/>
    </w:pPr>
    <w:rPr>
      <w:rFonts w:ascii="Century Gothic" w:hAnsi="Century Gothic"/>
      <w:color w:val="00467F"/>
      <w:sz w:val="36"/>
    </w:rPr>
  </w:style>
  <w:style w:type="character" w:customStyle="1" w:styleId="FootnoteNumbers">
    <w:name w:val="Footnote Numbers"/>
    <w:uiPriority w:val="99"/>
    <w:rsid w:val="00A3264E"/>
    <w:rPr>
      <w:rFonts w:ascii="CenturyGothic" w:hAnsi="CenturyGothic" w:cs="CenturyGothic"/>
      <w:color w:val="000000"/>
      <w:sz w:val="16"/>
      <w:szCs w:val="16"/>
    </w:rPr>
  </w:style>
  <w:style w:type="paragraph" w:customStyle="1" w:styleId="ChapterSectionIntroParagraph">
    <w:name w:val="Chapter/Section Intro Paragraph"/>
    <w:uiPriority w:val="99"/>
    <w:rsid w:val="00936792"/>
    <w:pPr>
      <w:widowControl w:val="0"/>
      <w:autoSpaceDE w:val="0"/>
      <w:autoSpaceDN w:val="0"/>
      <w:adjustRightInd w:val="0"/>
      <w:spacing w:before="216" w:after="270" w:line="350" w:lineRule="atLeast"/>
      <w:ind w:right="1152"/>
      <w:jc w:val="both"/>
      <w:textAlignment w:val="center"/>
    </w:pPr>
    <w:rPr>
      <w:rFonts w:ascii="Constantia" w:hAnsi="Constantia" w:cs="Constantia-Italic"/>
      <w:b/>
      <w:iCs/>
      <w:color w:val="537392"/>
      <w:sz w:val="23"/>
      <w:szCs w:val="23"/>
    </w:rPr>
  </w:style>
  <w:style w:type="character" w:styleId="PageNumber">
    <w:name w:val="page number"/>
    <w:rsid w:val="005223D2"/>
    <w:rPr>
      <w:rFonts w:ascii="Century Gothic" w:hAnsi="Century Gothic"/>
      <w:b/>
      <w:color w:val="6C91B4"/>
      <w:sz w:val="22"/>
    </w:rPr>
  </w:style>
  <w:style w:type="character" w:customStyle="1" w:styleId="SuperscriptNumbers">
    <w:name w:val="Superscript Numbers"/>
    <w:uiPriority w:val="99"/>
    <w:rsid w:val="009A7B75"/>
    <w:rPr>
      <w:rFonts w:ascii="CenturyGothic-Bold" w:hAnsi="CenturyGothic-Bold" w:cs="CenturyGothic-Bold"/>
      <w:b/>
      <w:bCs/>
      <w:color w:val="00467E"/>
      <w:sz w:val="12"/>
      <w:szCs w:val="12"/>
      <w:vertAlign w:val="baseline"/>
    </w:rPr>
  </w:style>
  <w:style w:type="paragraph" w:customStyle="1" w:styleId="References">
    <w:name w:val="References"/>
    <w:uiPriority w:val="99"/>
    <w:rsid w:val="00AF5B1B"/>
    <w:pPr>
      <w:widowControl w:val="0"/>
      <w:autoSpaceDE w:val="0"/>
      <w:autoSpaceDN w:val="0"/>
      <w:adjustRightInd w:val="0"/>
      <w:spacing w:before="79" w:after="240" w:line="240" w:lineRule="atLeast"/>
      <w:ind w:left="720"/>
      <w:jc w:val="both"/>
      <w:textAlignment w:val="center"/>
    </w:pPr>
    <w:rPr>
      <w:rFonts w:ascii="Century Gothic" w:hAnsi="Century Gothic" w:cs="Constantia"/>
      <w:color w:val="000000"/>
      <w:sz w:val="18"/>
      <w:szCs w:val="18"/>
    </w:rPr>
  </w:style>
  <w:style w:type="paragraph" w:customStyle="1" w:styleId="CoverAuthors">
    <w:name w:val="Cover Author/s"/>
    <w:qFormat/>
    <w:rsid w:val="001E265B"/>
    <w:pPr>
      <w:widowControl w:val="0"/>
      <w:autoSpaceDE w:val="0"/>
      <w:autoSpaceDN w:val="0"/>
      <w:adjustRightInd w:val="0"/>
      <w:spacing w:before="2280"/>
      <w:ind w:left="5760" w:right="720"/>
      <w:textAlignment w:val="center"/>
    </w:pPr>
    <w:rPr>
      <w:rFonts w:ascii="Century Gothic" w:hAnsi="Century Gothic"/>
      <w:color w:val="000000" w:themeColor="text1"/>
      <w:sz w:val="28"/>
    </w:rPr>
  </w:style>
  <w:style w:type="paragraph" w:customStyle="1" w:styleId="CoverTitle">
    <w:name w:val="Cover Title"/>
    <w:qFormat/>
    <w:rsid w:val="0083534F"/>
    <w:pPr>
      <w:widowControl w:val="0"/>
      <w:suppressAutoHyphens/>
      <w:autoSpaceDE w:val="0"/>
      <w:autoSpaceDN w:val="0"/>
      <w:adjustRightInd w:val="0"/>
      <w:spacing w:before="1080" w:after="480"/>
      <w:ind w:left="2160"/>
      <w:textAlignment w:val="center"/>
    </w:pPr>
    <w:rPr>
      <w:rFonts w:ascii="Century Gothic" w:hAnsi="Century Gothic"/>
      <w:color w:val="FFFFFF" w:themeColor="background1"/>
      <w:spacing w:val="-8"/>
      <w:sz w:val="60"/>
    </w:rPr>
  </w:style>
  <w:style w:type="paragraph" w:customStyle="1" w:styleId="CoverSubtitle">
    <w:name w:val="Cover Subtitle"/>
    <w:basedOn w:val="Normal"/>
    <w:qFormat/>
    <w:rsid w:val="001E265B"/>
    <w:pPr>
      <w:widowControl w:val="0"/>
      <w:suppressAutoHyphens/>
      <w:autoSpaceDE w:val="0"/>
      <w:autoSpaceDN w:val="0"/>
      <w:adjustRightInd w:val="0"/>
      <w:spacing w:before="120" w:after="480"/>
      <w:ind w:left="2160" w:right="720"/>
      <w:textAlignment w:val="center"/>
    </w:pPr>
    <w:rPr>
      <w:rFonts w:ascii="Century Gothic" w:hAnsi="Century Gothic"/>
      <w:b/>
      <w:color w:val="404040" w:themeColor="text1" w:themeTint="BF"/>
      <w:spacing w:val="-8"/>
      <w:sz w:val="32"/>
    </w:rPr>
  </w:style>
  <w:style w:type="paragraph" w:customStyle="1" w:styleId="contract1">
    <w:name w:val="contract # 1"/>
    <w:basedOn w:val="coverdetailsdate"/>
    <w:qFormat/>
    <w:rsid w:val="00F25DE4"/>
    <w:pPr>
      <w:spacing w:before="240"/>
    </w:pPr>
    <w:rPr>
      <w:noProof/>
    </w:rPr>
  </w:style>
  <w:style w:type="paragraph" w:customStyle="1" w:styleId="DateContract">
    <w:name w:val="Date/Contract"/>
    <w:basedOn w:val="CoverAuthors"/>
    <w:qFormat/>
    <w:rsid w:val="001E265B"/>
    <w:pPr>
      <w:spacing w:before="360"/>
    </w:pPr>
    <w:rPr>
      <w:noProof/>
      <w:sz w:val="22"/>
    </w:rPr>
  </w:style>
  <w:style w:type="paragraph" w:customStyle="1" w:styleId="CopyrightText">
    <w:name w:val="© Copyright Text"/>
    <w:qFormat/>
    <w:rsid w:val="00936792"/>
    <w:pPr>
      <w:framePr w:w="6108" w:h="3238" w:hRule="exact" w:hSpace="187" w:wrap="around" w:vAnchor="page" w:hAnchor="page" w:x="4934" w:y="11708"/>
      <w:widowControl w:val="0"/>
      <w:autoSpaceDE w:val="0"/>
      <w:autoSpaceDN w:val="0"/>
      <w:adjustRightInd w:val="0"/>
      <w:spacing w:after="115" w:line="280" w:lineRule="atLeast"/>
      <w:textAlignment w:val="center"/>
    </w:pPr>
    <w:rPr>
      <w:rFonts w:ascii="CenturyGothic" w:hAnsi="CenturyGothic" w:cs="CenturyGothic"/>
      <w:color w:val="7F7F7F" w:themeColor="text1" w:themeTint="80"/>
      <w:sz w:val="18"/>
      <w:szCs w:val="18"/>
    </w:rPr>
  </w:style>
  <w:style w:type="paragraph" w:customStyle="1" w:styleId="pullquoteattribution">
    <w:name w:val="pullquote attribution"/>
    <w:basedOn w:val="pullquote"/>
    <w:qFormat/>
    <w:rsid w:val="00B861B9"/>
    <w:pPr>
      <w:framePr w:w="4493" w:wrap="around" w:x="6345" w:y="312"/>
      <w:spacing w:before="200" w:line="220" w:lineRule="atLeast"/>
      <w:ind w:left="720"/>
      <w:jc w:val="right"/>
    </w:pPr>
    <w:rPr>
      <w:b w:val="0"/>
      <w:color w:val="808080" w:themeColor="background1" w:themeShade="80"/>
      <w:sz w:val="18"/>
    </w:rPr>
  </w:style>
  <w:style w:type="paragraph" w:customStyle="1" w:styleId="bodyafterintro">
    <w:name w:val="body after intro"/>
    <w:basedOn w:val="body"/>
    <w:qFormat/>
    <w:rsid w:val="00D628AE"/>
  </w:style>
  <w:style w:type="paragraph" w:customStyle="1" w:styleId="tabletitle">
    <w:name w:val="table title"/>
    <w:basedOn w:val="charttitle"/>
    <w:qFormat/>
    <w:rsid w:val="003C5443"/>
    <w:pPr>
      <w:widowControl w:val="0"/>
      <w:autoSpaceDE w:val="0"/>
      <w:autoSpaceDN w:val="0"/>
      <w:adjustRightInd w:val="0"/>
      <w:spacing w:after="200"/>
      <w:ind w:left="720"/>
      <w:textAlignment w:val="center"/>
    </w:pPr>
  </w:style>
  <w:style w:type="paragraph" w:customStyle="1" w:styleId="bullet-last">
    <w:name w:val="bullet - last"/>
    <w:basedOn w:val="bullets"/>
    <w:qFormat/>
    <w:rsid w:val="0037780E"/>
    <w:pPr>
      <w:spacing w:after="300"/>
    </w:pPr>
  </w:style>
  <w:style w:type="paragraph" w:customStyle="1" w:styleId="numberedlist-last">
    <w:name w:val="numbered list - last"/>
    <w:basedOn w:val="numberedlist"/>
    <w:qFormat/>
    <w:rsid w:val="004861B2"/>
    <w:pPr>
      <w:spacing w:after="400"/>
    </w:pPr>
  </w:style>
  <w:style w:type="paragraph" w:customStyle="1" w:styleId="body-beforetableorchart">
    <w:name w:val="body - before table or chart"/>
    <w:basedOn w:val="body"/>
    <w:qFormat/>
    <w:rsid w:val="003C5443"/>
    <w:pPr>
      <w:spacing w:after="400"/>
    </w:pPr>
  </w:style>
  <w:style w:type="paragraph" w:customStyle="1" w:styleId="body-aftertableorchart">
    <w:name w:val="body - after table or chart"/>
    <w:basedOn w:val="body"/>
    <w:qFormat/>
    <w:rsid w:val="003C5443"/>
    <w:pPr>
      <w:spacing w:before="400"/>
    </w:pPr>
  </w:style>
  <w:style w:type="paragraph" w:customStyle="1" w:styleId="bullet-first">
    <w:name w:val="bullet - first"/>
    <w:basedOn w:val="bullets"/>
    <w:qFormat/>
    <w:rsid w:val="00B861B9"/>
    <w:pPr>
      <w:spacing w:before="240"/>
    </w:pPr>
  </w:style>
  <w:style w:type="paragraph" w:customStyle="1" w:styleId="tablecell">
    <w:name w:val="table cell"/>
    <w:basedOn w:val="body"/>
    <w:qFormat/>
    <w:rsid w:val="00FA785E"/>
    <w:pPr>
      <w:spacing w:before="60" w:after="60" w:line="240" w:lineRule="atLeast"/>
      <w:ind w:left="0"/>
    </w:pPr>
    <w:rPr>
      <w:rFonts w:ascii="Century Gothic" w:hAnsi="Century Gothic"/>
      <w:color w:val="595959" w:themeColor="text1" w:themeTint="A6"/>
      <w:sz w:val="18"/>
    </w:rPr>
  </w:style>
  <w:style w:type="paragraph" w:customStyle="1" w:styleId="tableheadstyle2">
    <w:name w:val="table head style 2"/>
    <w:basedOn w:val="body"/>
    <w:qFormat/>
    <w:rsid w:val="00AF5B1B"/>
    <w:pPr>
      <w:spacing w:before="60" w:after="60" w:line="240" w:lineRule="atLeast"/>
      <w:ind w:left="0"/>
    </w:pPr>
    <w:rPr>
      <w:rFonts w:ascii="Century Gothic" w:hAnsi="Century Gothic"/>
      <w:b/>
      <w:i/>
      <w:color w:val="548DD4" w:themeColor="text2" w:themeTint="99"/>
      <w:sz w:val="18"/>
    </w:rPr>
  </w:style>
  <w:style w:type="paragraph" w:customStyle="1" w:styleId="EndnoteHead">
    <w:name w:val="Endnote Head"/>
    <w:basedOn w:val="ReferenceHead"/>
    <w:qFormat/>
    <w:rsid w:val="0094327D"/>
  </w:style>
  <w:style w:type="paragraph" w:customStyle="1" w:styleId="ReferenceHead">
    <w:name w:val="Reference Head"/>
    <w:qFormat/>
    <w:rsid w:val="00AF5B1B"/>
    <w:pPr>
      <w:pageBreakBefore/>
      <w:widowControl w:val="0"/>
      <w:spacing w:before="500" w:after="300" w:line="360" w:lineRule="atLeast"/>
    </w:pPr>
    <w:rPr>
      <w:rFonts w:ascii="Century Gothic" w:hAnsi="Century Gothic"/>
      <w:color w:val="548DD4" w:themeColor="text2" w:themeTint="99"/>
      <w:sz w:val="30"/>
    </w:rPr>
  </w:style>
  <w:style w:type="paragraph" w:customStyle="1" w:styleId="TableofContentsHeader">
    <w:name w:val="Table of Contents Header"/>
    <w:qFormat/>
    <w:rsid w:val="006F3CD6"/>
    <w:pPr>
      <w:keepNext/>
      <w:pageBreakBefore/>
      <w:pBdr>
        <w:bottom w:val="single" w:sz="48" w:space="8" w:color="EFEFEF"/>
      </w:pBdr>
      <w:spacing w:before="720"/>
      <w:ind w:left="1728"/>
    </w:pPr>
    <w:rPr>
      <w:rFonts w:ascii="Century Gothic" w:hAnsi="Century Gothic"/>
      <w:color w:val="00467F"/>
      <w:sz w:val="48"/>
    </w:rPr>
  </w:style>
  <w:style w:type="paragraph" w:styleId="Header">
    <w:name w:val="header"/>
    <w:basedOn w:val="Normal"/>
    <w:link w:val="HeaderChar"/>
    <w:rsid w:val="00573A44"/>
    <w:pPr>
      <w:tabs>
        <w:tab w:val="center" w:pos="4320"/>
        <w:tab w:val="right" w:pos="8640"/>
      </w:tabs>
    </w:pPr>
  </w:style>
  <w:style w:type="character" w:customStyle="1" w:styleId="HeaderChar">
    <w:name w:val="Header Char"/>
    <w:basedOn w:val="DefaultParagraphFont"/>
    <w:link w:val="Header"/>
    <w:rsid w:val="00573A44"/>
    <w:rPr>
      <w:color w:val="000000" w:themeColor="text1"/>
    </w:rPr>
  </w:style>
  <w:style w:type="paragraph" w:customStyle="1" w:styleId="TableofContentsH1">
    <w:name w:val="Table of Contents H1"/>
    <w:basedOn w:val="TableofContentsHeader"/>
    <w:qFormat/>
    <w:rsid w:val="00BB444E"/>
    <w:pPr>
      <w:pageBreakBefore w:val="0"/>
      <w:pBdr>
        <w:bottom w:val="none" w:sz="0" w:space="0" w:color="auto"/>
      </w:pBdr>
      <w:tabs>
        <w:tab w:val="left" w:pos="8280"/>
      </w:tabs>
      <w:spacing w:before="360"/>
    </w:pPr>
    <w:rPr>
      <w:color w:val="7AA1DE"/>
      <w:sz w:val="28"/>
    </w:rPr>
  </w:style>
  <w:style w:type="paragraph" w:customStyle="1" w:styleId="TableofContentsH2">
    <w:name w:val="Table of Contents H2"/>
    <w:basedOn w:val="TableofContentsH1"/>
    <w:qFormat/>
    <w:rsid w:val="00BB444E"/>
    <w:pPr>
      <w:spacing w:before="120"/>
      <w:ind w:left="2304"/>
    </w:pPr>
    <w:rPr>
      <w:b/>
      <w:color w:val="00467F"/>
      <w:sz w:val="22"/>
    </w:rPr>
  </w:style>
  <w:style w:type="paragraph" w:styleId="ListParagraph">
    <w:name w:val="List Paragraph"/>
    <w:basedOn w:val="Normal"/>
    <w:uiPriority w:val="34"/>
    <w:qFormat/>
    <w:rsid w:val="00454882"/>
    <w:pPr>
      <w:spacing w:before="120" w:line="259" w:lineRule="auto"/>
      <w:ind w:left="720"/>
      <w:contextualSpacing/>
    </w:pPr>
    <w:rPr>
      <w:rFonts w:ascii="Calibri Light" w:eastAsiaTheme="minorHAnsi" w:hAnsi="Calibri Light" w:cstheme="majorHAnsi"/>
      <w:color w:val="auto"/>
      <w:sz w:val="22"/>
      <w:szCs w:val="22"/>
    </w:rPr>
  </w:style>
  <w:style w:type="character" w:customStyle="1" w:styleId="Heading1Char">
    <w:name w:val="Heading 1 Char"/>
    <w:basedOn w:val="DefaultParagraphFont"/>
    <w:link w:val="Heading1"/>
    <w:rsid w:val="00443D80"/>
    <w:rPr>
      <w:rFonts w:ascii="Century Gothic" w:hAnsi="Century Gothic"/>
      <w:color w:val="548DD4" w:themeColor="text2" w:themeTint="99"/>
      <w:sz w:val="30"/>
    </w:rPr>
  </w:style>
  <w:style w:type="paragraph" w:styleId="EndnoteText">
    <w:name w:val="endnote text"/>
    <w:basedOn w:val="Normal"/>
    <w:link w:val="EndnoteTextChar"/>
    <w:semiHidden/>
    <w:unhideWhenUsed/>
    <w:rsid w:val="001B7FCA"/>
    <w:rPr>
      <w:sz w:val="20"/>
      <w:szCs w:val="20"/>
    </w:rPr>
  </w:style>
  <w:style w:type="character" w:customStyle="1" w:styleId="EndnoteTextChar">
    <w:name w:val="Endnote Text Char"/>
    <w:basedOn w:val="DefaultParagraphFont"/>
    <w:link w:val="EndnoteText"/>
    <w:semiHidden/>
    <w:rsid w:val="001B7FCA"/>
    <w:rPr>
      <w:color w:val="000000" w:themeColor="text1"/>
      <w:sz w:val="20"/>
      <w:szCs w:val="20"/>
    </w:rPr>
  </w:style>
  <w:style w:type="character" w:styleId="EndnoteReference">
    <w:name w:val="endnote reference"/>
    <w:basedOn w:val="DefaultParagraphFont"/>
    <w:semiHidden/>
    <w:unhideWhenUsed/>
    <w:rsid w:val="001B7FCA"/>
    <w:rPr>
      <w:vertAlign w:val="superscript"/>
    </w:rPr>
  </w:style>
  <w:style w:type="paragraph" w:styleId="FootnoteText">
    <w:name w:val="footnote text"/>
    <w:basedOn w:val="Normal"/>
    <w:link w:val="FootnoteTextChar"/>
    <w:semiHidden/>
    <w:unhideWhenUsed/>
    <w:rsid w:val="001B7FCA"/>
    <w:rPr>
      <w:sz w:val="20"/>
      <w:szCs w:val="20"/>
    </w:rPr>
  </w:style>
  <w:style w:type="character" w:customStyle="1" w:styleId="FootnoteTextChar">
    <w:name w:val="Footnote Text Char"/>
    <w:basedOn w:val="DefaultParagraphFont"/>
    <w:link w:val="FootnoteText"/>
    <w:semiHidden/>
    <w:rsid w:val="001B7FCA"/>
    <w:rPr>
      <w:color w:val="000000" w:themeColor="text1"/>
      <w:sz w:val="20"/>
      <w:szCs w:val="20"/>
    </w:rPr>
  </w:style>
  <w:style w:type="character" w:styleId="FootnoteReference">
    <w:name w:val="footnote reference"/>
    <w:basedOn w:val="DefaultParagraphFont"/>
    <w:semiHidden/>
    <w:unhideWhenUsed/>
    <w:rsid w:val="001B7FCA"/>
    <w:rPr>
      <w:vertAlign w:val="superscript"/>
    </w:rPr>
  </w:style>
  <w:style w:type="character" w:styleId="CommentReference">
    <w:name w:val="annotation reference"/>
    <w:basedOn w:val="DefaultParagraphFont"/>
    <w:uiPriority w:val="99"/>
    <w:semiHidden/>
    <w:unhideWhenUsed/>
    <w:rsid w:val="007C64A8"/>
    <w:rPr>
      <w:sz w:val="16"/>
      <w:szCs w:val="16"/>
    </w:rPr>
  </w:style>
  <w:style w:type="paragraph" w:styleId="CommentText">
    <w:name w:val="annotation text"/>
    <w:basedOn w:val="Normal"/>
    <w:link w:val="CommentTextChar"/>
    <w:uiPriority w:val="99"/>
    <w:semiHidden/>
    <w:unhideWhenUsed/>
    <w:rsid w:val="007C64A8"/>
    <w:rPr>
      <w:sz w:val="20"/>
      <w:szCs w:val="20"/>
    </w:rPr>
  </w:style>
  <w:style w:type="character" w:customStyle="1" w:styleId="CommentTextChar">
    <w:name w:val="Comment Text Char"/>
    <w:basedOn w:val="DefaultParagraphFont"/>
    <w:link w:val="CommentText"/>
    <w:uiPriority w:val="99"/>
    <w:semiHidden/>
    <w:rsid w:val="007C64A8"/>
    <w:rPr>
      <w:color w:val="000000" w:themeColor="text1"/>
      <w:sz w:val="20"/>
      <w:szCs w:val="20"/>
    </w:rPr>
  </w:style>
  <w:style w:type="paragraph" w:styleId="CommentSubject">
    <w:name w:val="annotation subject"/>
    <w:basedOn w:val="CommentText"/>
    <w:next w:val="CommentText"/>
    <w:link w:val="CommentSubjectChar"/>
    <w:semiHidden/>
    <w:unhideWhenUsed/>
    <w:rsid w:val="007C64A8"/>
    <w:rPr>
      <w:b/>
      <w:bCs/>
    </w:rPr>
  </w:style>
  <w:style w:type="character" w:customStyle="1" w:styleId="CommentSubjectChar">
    <w:name w:val="Comment Subject Char"/>
    <w:basedOn w:val="CommentTextChar"/>
    <w:link w:val="CommentSubject"/>
    <w:semiHidden/>
    <w:rsid w:val="007C64A8"/>
    <w:rPr>
      <w:b/>
      <w:bCs/>
      <w:color w:val="000000" w:themeColor="text1"/>
      <w:sz w:val="20"/>
      <w:szCs w:val="20"/>
    </w:rPr>
  </w:style>
  <w:style w:type="paragraph" w:styleId="Revision">
    <w:name w:val="Revision"/>
    <w:hidden/>
    <w:semiHidden/>
    <w:rsid w:val="007C64A8"/>
    <w:rPr>
      <w:color w:val="000000" w:themeColor="text1"/>
    </w:rPr>
  </w:style>
  <w:style w:type="paragraph" w:styleId="BalloonText">
    <w:name w:val="Balloon Text"/>
    <w:basedOn w:val="Normal"/>
    <w:link w:val="BalloonTextChar"/>
    <w:semiHidden/>
    <w:unhideWhenUsed/>
    <w:rsid w:val="007C64A8"/>
    <w:rPr>
      <w:rFonts w:ascii="Segoe UI" w:hAnsi="Segoe UI" w:cs="Segoe UI"/>
      <w:sz w:val="18"/>
      <w:szCs w:val="18"/>
    </w:rPr>
  </w:style>
  <w:style w:type="character" w:customStyle="1" w:styleId="BalloonTextChar">
    <w:name w:val="Balloon Text Char"/>
    <w:basedOn w:val="DefaultParagraphFont"/>
    <w:link w:val="BalloonText"/>
    <w:semiHidden/>
    <w:rsid w:val="007C64A8"/>
    <w:rPr>
      <w:rFonts w:ascii="Segoe UI" w:hAnsi="Segoe UI" w:cs="Segoe UI"/>
      <w:color w:val="000000" w:themeColor="text1"/>
      <w:sz w:val="18"/>
      <w:szCs w:val="18"/>
    </w:rPr>
  </w:style>
  <w:style w:type="character" w:styleId="Hyperlink">
    <w:name w:val="Hyperlink"/>
    <w:basedOn w:val="DefaultParagraphFont"/>
    <w:unhideWhenUsed/>
    <w:rsid w:val="00944FB6"/>
    <w:rPr>
      <w:color w:val="0000FF" w:themeColor="hyperlink"/>
      <w:u w:val="single"/>
    </w:rPr>
  </w:style>
  <w:style w:type="character" w:styleId="Mention">
    <w:name w:val="Mention"/>
    <w:basedOn w:val="DefaultParagraphFont"/>
    <w:uiPriority w:val="99"/>
    <w:semiHidden/>
    <w:unhideWhenUsed/>
    <w:rsid w:val="00944FB6"/>
    <w:rPr>
      <w:color w:val="2B579A"/>
      <w:shd w:val="clear" w:color="auto" w:fill="E6E6E6"/>
    </w:rPr>
  </w:style>
  <w:style w:type="paragraph" w:styleId="NormalWeb">
    <w:name w:val="Normal (Web)"/>
    <w:basedOn w:val="Normal"/>
    <w:uiPriority w:val="99"/>
    <w:semiHidden/>
    <w:unhideWhenUsed/>
    <w:rsid w:val="00786625"/>
    <w:pPr>
      <w:spacing w:before="100" w:beforeAutospacing="1" w:after="100" w:afterAutospacing="1"/>
    </w:pPr>
    <w:rPr>
      <w:color w:val="auto"/>
    </w:rPr>
  </w:style>
  <w:style w:type="character" w:customStyle="1" w:styleId="apple-converted-space">
    <w:name w:val="apple-converted-space"/>
    <w:basedOn w:val="DefaultParagraphFont"/>
    <w:rsid w:val="00786625"/>
  </w:style>
  <w:style w:type="character" w:customStyle="1" w:styleId="st">
    <w:name w:val="st"/>
    <w:basedOn w:val="DefaultParagraphFont"/>
    <w:rsid w:val="000B2333"/>
  </w:style>
  <w:style w:type="paragraph" w:customStyle="1" w:styleId="Default">
    <w:name w:val="Default"/>
    <w:rsid w:val="00CE7F14"/>
    <w:pPr>
      <w:autoSpaceDE w:val="0"/>
      <w:autoSpaceDN w:val="0"/>
      <w:adjustRightInd w:val="0"/>
    </w:pPr>
    <w:rPr>
      <w:color w:val="000000"/>
    </w:rPr>
  </w:style>
  <w:style w:type="paragraph" w:customStyle="1" w:styleId="Pa21">
    <w:name w:val="Pa21"/>
    <w:basedOn w:val="Default"/>
    <w:next w:val="Default"/>
    <w:uiPriority w:val="99"/>
    <w:rsid w:val="00684171"/>
    <w:pPr>
      <w:spacing w:line="221" w:lineRule="atLeast"/>
    </w:pPr>
    <w:rPr>
      <w:rFonts w:ascii="ITC Franklin Gothic BookCd" w:hAnsi="ITC Franklin Gothic BookCd"/>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92644">
      <w:bodyDiv w:val="1"/>
      <w:marLeft w:val="0"/>
      <w:marRight w:val="0"/>
      <w:marTop w:val="0"/>
      <w:marBottom w:val="0"/>
      <w:divBdr>
        <w:top w:val="none" w:sz="0" w:space="0" w:color="auto"/>
        <w:left w:val="none" w:sz="0" w:space="0" w:color="auto"/>
        <w:bottom w:val="none" w:sz="0" w:space="0" w:color="auto"/>
        <w:right w:val="none" w:sz="0" w:space="0" w:color="auto"/>
      </w:divBdr>
    </w:div>
    <w:div w:id="240916727">
      <w:bodyDiv w:val="1"/>
      <w:marLeft w:val="0"/>
      <w:marRight w:val="0"/>
      <w:marTop w:val="0"/>
      <w:marBottom w:val="0"/>
      <w:divBdr>
        <w:top w:val="none" w:sz="0" w:space="0" w:color="auto"/>
        <w:left w:val="none" w:sz="0" w:space="0" w:color="auto"/>
        <w:bottom w:val="none" w:sz="0" w:space="0" w:color="auto"/>
        <w:right w:val="none" w:sz="0" w:space="0" w:color="auto"/>
      </w:divBdr>
    </w:div>
    <w:div w:id="274020250">
      <w:bodyDiv w:val="1"/>
      <w:marLeft w:val="0"/>
      <w:marRight w:val="0"/>
      <w:marTop w:val="0"/>
      <w:marBottom w:val="0"/>
      <w:divBdr>
        <w:top w:val="none" w:sz="0" w:space="0" w:color="auto"/>
        <w:left w:val="none" w:sz="0" w:space="0" w:color="auto"/>
        <w:bottom w:val="none" w:sz="0" w:space="0" w:color="auto"/>
        <w:right w:val="none" w:sz="0" w:space="0" w:color="auto"/>
      </w:divBdr>
    </w:div>
    <w:div w:id="1143622983">
      <w:bodyDiv w:val="1"/>
      <w:marLeft w:val="0"/>
      <w:marRight w:val="0"/>
      <w:marTop w:val="0"/>
      <w:marBottom w:val="0"/>
      <w:divBdr>
        <w:top w:val="none" w:sz="0" w:space="0" w:color="auto"/>
        <w:left w:val="none" w:sz="0" w:space="0" w:color="auto"/>
        <w:bottom w:val="none" w:sz="0" w:space="0" w:color="auto"/>
        <w:right w:val="none" w:sz="0" w:space="0" w:color="auto"/>
      </w:divBdr>
    </w:div>
    <w:div w:id="1438331861">
      <w:bodyDiv w:val="1"/>
      <w:marLeft w:val="0"/>
      <w:marRight w:val="0"/>
      <w:marTop w:val="0"/>
      <w:marBottom w:val="0"/>
      <w:divBdr>
        <w:top w:val="none" w:sz="0" w:space="0" w:color="auto"/>
        <w:left w:val="none" w:sz="0" w:space="0" w:color="auto"/>
        <w:bottom w:val="none" w:sz="0" w:space="0" w:color="auto"/>
        <w:right w:val="none" w:sz="0" w:space="0" w:color="auto"/>
      </w:divBdr>
    </w:div>
    <w:div w:id="167394894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allto:415.565.3000" TargetMode="Externa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eader" Target="header4.xml"/><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3.emf"/></Relationships>
</file>

<file path=word/_rels/footer4.xml.rels><?xml version="1.0" encoding="UTF-8" standalone="yes"?>
<Relationships xmlns="http://schemas.openxmlformats.org/package/2006/relationships"><Relationship Id="rId1" Type="http://schemas.openxmlformats.org/officeDocument/2006/relationships/image" Target="media/image4.emf"/></Relationships>
</file>

<file path=word/_rels/footnotes.xml.rels><?xml version="1.0" encoding="UTF-8" standalone="yes"?>
<Relationships xmlns="http://schemas.openxmlformats.org/package/2006/relationships"><Relationship Id="rId8" Type="http://schemas.openxmlformats.org/officeDocument/2006/relationships/hyperlink" Target="https://ifap.ed.gov/fsahandbook/1718FSAHbkVol2.html" TargetMode="External"/><Relationship Id="rId13" Type="http://schemas.openxmlformats.org/officeDocument/2006/relationships/hyperlink" Target="http://aebg.cccco.edu/Portals/1/docs/AEBG%20Reports/6.6.17%20Prosperity%20Through%20Partnership%20-%20Opportunities%20for%20AEBG%20to%20Strengthen%20Sy....pdf" TargetMode="External"/><Relationship Id="rId3" Type="http://schemas.openxmlformats.org/officeDocument/2006/relationships/hyperlink" Target="http://extranet.cccco.edu/Portals/1/AA/Credit/Guidelines%20for%20Using%20CB21%20Course%20Prior%20to%20Transfer%20Rubrics.pdf" TargetMode="External"/><Relationship Id="rId7" Type="http://schemas.openxmlformats.org/officeDocument/2006/relationships/hyperlink" Target="https://wdr.doleta.gov/directives/attach/TEGL15-10acc.pdf" TargetMode="External"/><Relationship Id="rId12" Type="http://schemas.openxmlformats.org/officeDocument/2006/relationships/hyperlink" Target="http://www.nrsweb.org/foundations/Program%20Memorandum%2017-2%20OCTAE.pdf" TargetMode="External"/><Relationship Id="rId17" Type="http://schemas.openxmlformats.org/officeDocument/2006/relationships/hyperlink" Target="https://www.sbctc.edu/colleges-staff/programs-services/i-best/" TargetMode="External"/><Relationship Id="rId2" Type="http://schemas.openxmlformats.org/officeDocument/2006/relationships/hyperlink" Target="https://ifap.ed.gov/fsahandbook/1718FSAHbkVol2.html" TargetMode="External"/><Relationship Id="rId16" Type="http://schemas.openxmlformats.org/officeDocument/2006/relationships/hyperlink" Target="http://www.wa.gov/esd/1stop/docs/wioa/WIOA_Title_II.doc" TargetMode="External"/><Relationship Id="rId1" Type="http://schemas.openxmlformats.org/officeDocument/2006/relationships/hyperlink" Target="https://ifap.ed.gov/fsahandbook/1718FSAHbkVol2.html" TargetMode="External"/><Relationship Id="rId6" Type="http://schemas.openxmlformats.org/officeDocument/2006/relationships/hyperlink" Target="http://www.nrsweb.org/foundations/Program%20Memorandum%2017-2%20OCTAE.pdf" TargetMode="External"/><Relationship Id="rId11" Type="http://schemas.openxmlformats.org/officeDocument/2006/relationships/hyperlink" Target="http://www.nrsweb.org/foundations/Program%20Memorandum%2017-2%20OCTAE.pdf" TargetMode="External"/><Relationship Id="rId5" Type="http://schemas.openxmlformats.org/officeDocument/2006/relationships/hyperlink" Target="https://leginfo.legislature.ca.gov/faces/billTextClient.xhtml?bill_id=201520160AB104" TargetMode="External"/><Relationship Id="rId15" Type="http://schemas.openxmlformats.org/officeDocument/2006/relationships/hyperlink" Target="https://wdr.doleta.gov/scans/whatwork/whatwork.pdf" TargetMode="External"/><Relationship Id="rId10" Type="http://schemas.openxmlformats.org/officeDocument/2006/relationships/hyperlink" Target="http://www.workforcedqc.org/wcc/projects" TargetMode="External"/><Relationship Id="rId4" Type="http://schemas.openxmlformats.org/officeDocument/2006/relationships/hyperlink" Target="http://extranet.cccco.edu/Portals/1/TRIS/MIS/Left_Nav/DED/Data_Elements/CB/cb04.pdf" TargetMode="External"/><Relationship Id="rId9" Type="http://schemas.openxmlformats.org/officeDocument/2006/relationships/hyperlink" Target="http://www.workforcedqc.org/news/blog/new-jersey-releases-list-industry-valued-credentials" TargetMode="External"/><Relationship Id="rId14" Type="http://schemas.openxmlformats.org/officeDocument/2006/relationships/hyperlink" Target="http://extranet.cccco.edu/Portals/1/TRIS/MIS/Left_Nav/DED/Data_Elements/CB/cb21.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8A2EF2-7AC1-4E07-9598-1CB03229DE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19</Pages>
  <Words>5600</Words>
  <Characters>31923</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Document Title</vt:lpstr>
    </vt:vector>
  </TitlesOfParts>
  <Company>WestEd</Company>
  <LinksUpToDate>false</LinksUpToDate>
  <CharactersWithSpaces>37449</CharactersWithSpaces>
  <SharedDoc>false</SharedDoc>
  <HLinks>
    <vt:vector size="24" baseType="variant">
      <vt:variant>
        <vt:i4>6553710</vt:i4>
      </vt:variant>
      <vt:variant>
        <vt:i4>-1</vt:i4>
      </vt:variant>
      <vt:variant>
        <vt:i4>1061</vt:i4>
      </vt:variant>
      <vt:variant>
        <vt:i4>1</vt:i4>
      </vt:variant>
      <vt:variant>
        <vt:lpwstr>:c.jpg</vt:lpwstr>
      </vt:variant>
      <vt:variant>
        <vt:lpwstr/>
      </vt:variant>
      <vt:variant>
        <vt:i4>4194315</vt:i4>
      </vt:variant>
      <vt:variant>
        <vt:i4>-1</vt:i4>
      </vt:variant>
      <vt:variant>
        <vt:i4>1059</vt:i4>
      </vt:variant>
      <vt:variant>
        <vt:i4>1</vt:i4>
      </vt:variant>
      <vt:variant>
        <vt:lpwstr>::::Desktop:template_graphic_pg1.jpg</vt:lpwstr>
      </vt:variant>
      <vt:variant>
        <vt:lpwstr/>
      </vt:variant>
      <vt:variant>
        <vt:i4>2621515</vt:i4>
      </vt:variant>
      <vt:variant>
        <vt:i4>-1</vt:i4>
      </vt:variant>
      <vt:variant>
        <vt:i4>1088</vt:i4>
      </vt:variant>
      <vt:variant>
        <vt:i4>1</vt:i4>
      </vt:variant>
      <vt:variant>
        <vt:lpwstr>:coverart.jpg</vt:lpwstr>
      </vt:variant>
      <vt:variant>
        <vt:lpwstr/>
      </vt:variant>
      <vt:variant>
        <vt:i4>262192</vt:i4>
      </vt:variant>
      <vt:variant>
        <vt:i4>-1</vt:i4>
      </vt:variant>
      <vt:variant>
        <vt:i4>1104</vt:i4>
      </vt:variant>
      <vt:variant>
        <vt:i4>1</vt:i4>
      </vt:variant>
      <vt:variant>
        <vt:lpwstr>:graph1.jpg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Title</dc:title>
  <dc:subject/>
  <dc:creator>fbaer</dc:creator>
  <cp:keywords/>
  <dc:description/>
  <cp:lastModifiedBy>Kathy Booth</cp:lastModifiedBy>
  <cp:revision>28</cp:revision>
  <cp:lastPrinted>2017-05-31T21:08:00Z</cp:lastPrinted>
  <dcterms:created xsi:type="dcterms:W3CDTF">2017-06-22T18:46:00Z</dcterms:created>
  <dcterms:modified xsi:type="dcterms:W3CDTF">2017-06-22T19:45:00Z</dcterms:modified>
</cp:coreProperties>
</file>