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ALMA Quick Tips: Editing the URL of a Web-based OER on a Reading List</w:t>
      </w:r>
    </w:p>
    <w:p w:rsidR="00000000" w:rsidDel="00000000" w:rsidP="00000000" w:rsidRDefault="00000000" w:rsidRPr="00000000" w14:paraId="00000002">
      <w:pPr>
        <w:pStyle w:val="Heading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Step 1: Navigate to the Resource You Wish to Edit</w:t>
      </w:r>
    </w:p>
    <w:p w:rsidR="00000000" w:rsidDel="00000000" w:rsidP="00000000" w:rsidRDefault="00000000" w:rsidRPr="00000000" w14:paraId="00000004">
      <w:pPr>
        <w:rPr/>
      </w:pPr>
      <w:r w:rsidDel="00000000" w:rsidR="00000000" w:rsidRPr="00000000">
        <w:rPr>
          <w:rtl w:val="0"/>
        </w:rPr>
        <w:t xml:space="preserve">Use the search window to navigate to the resource. Here, we’re limiting the scope to only “Electronic Titles” to produce more relevant results. An “All Titles” search would work as well.</w:t>
      </w:r>
    </w:p>
    <w:p w:rsidR="00000000" w:rsidDel="00000000" w:rsidP="00000000" w:rsidRDefault="00000000" w:rsidRPr="00000000" w14:paraId="00000005">
      <w:pPr>
        <w:rPr/>
      </w:pPr>
      <w:r w:rsidDel="00000000" w:rsidR="00000000" w:rsidRPr="00000000">
        <w:rPr/>
        <w:drawing>
          <wp:inline distB="0" distT="0" distL="0" distR="0">
            <wp:extent cx="5943600" cy="2458085"/>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45808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Step 2: Expand the Search Result</w:t>
      </w:r>
    </w:p>
    <w:p w:rsidR="00000000" w:rsidDel="00000000" w:rsidP="00000000" w:rsidRDefault="00000000" w:rsidRPr="00000000" w14:paraId="00000007">
      <w:pPr>
        <w:rPr/>
      </w:pPr>
      <w:r w:rsidDel="00000000" w:rsidR="00000000" w:rsidRPr="00000000">
        <w:rPr/>
        <w:drawing>
          <wp:inline distB="0" distT="0" distL="0" distR="0">
            <wp:extent cx="5934075" cy="1514475"/>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340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Step 3: Click on “View” under </w:t>
      </w:r>
      <w:r w:rsidDel="00000000" w:rsidR="00000000" w:rsidRPr="00000000">
        <w:rPr>
          <w:i w:val="1"/>
          <w:rtl w:val="0"/>
        </w:rPr>
        <w:t xml:space="preserve">Portfolio</w:t>
      </w: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0" distT="0" distL="0" distR="0">
            <wp:extent cx="5943600" cy="2047875"/>
            <wp:effectExtent b="0" l="0" r="0" t="0"/>
            <wp:docPr id="1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20478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Step 4: In the </w:t>
      </w:r>
      <w:r w:rsidDel="00000000" w:rsidR="00000000" w:rsidRPr="00000000">
        <w:rPr>
          <w:i w:val="1"/>
          <w:rtl w:val="0"/>
        </w:rPr>
        <w:t xml:space="preserve">Electronic Portfolio Editor </w:t>
      </w:r>
      <w:r w:rsidDel="00000000" w:rsidR="00000000" w:rsidRPr="00000000">
        <w:rPr>
          <w:rtl w:val="0"/>
        </w:rPr>
        <w:t xml:space="preserve">navigate to the </w:t>
      </w:r>
      <w:r w:rsidDel="00000000" w:rsidR="00000000" w:rsidRPr="00000000">
        <w:rPr>
          <w:i w:val="1"/>
          <w:rtl w:val="0"/>
        </w:rPr>
        <w:t xml:space="preserve">Linking</w:t>
      </w:r>
      <w:r w:rsidDel="00000000" w:rsidR="00000000" w:rsidRPr="00000000">
        <w:rPr>
          <w:rtl w:val="0"/>
        </w:rPr>
        <w:t xml:space="preserve"> tab</w:t>
      </w:r>
    </w:p>
    <w:p w:rsidR="00000000" w:rsidDel="00000000" w:rsidP="00000000" w:rsidRDefault="00000000" w:rsidRPr="00000000" w14:paraId="0000000C">
      <w:pPr>
        <w:rPr/>
      </w:pPr>
      <w:r w:rsidDel="00000000" w:rsidR="00000000" w:rsidRPr="00000000">
        <w:rPr/>
        <w:drawing>
          <wp:inline distB="0" distT="0" distL="0" distR="0">
            <wp:extent cx="5943600" cy="2162175"/>
            <wp:effectExtent b="0" l="0" r="0" t="0"/>
            <wp:docPr id="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Step 5: In the </w:t>
      </w:r>
      <w:r w:rsidDel="00000000" w:rsidR="00000000" w:rsidRPr="00000000">
        <w:rPr>
          <w:i w:val="1"/>
          <w:rtl w:val="0"/>
        </w:rPr>
        <w:t xml:space="preserve">Linking tab</w:t>
      </w:r>
      <w:r w:rsidDel="00000000" w:rsidR="00000000" w:rsidRPr="00000000">
        <w:rPr>
          <w:rtl w:val="0"/>
        </w:rPr>
        <w:t xml:space="preserve">, select the existing URL and delete it.</w:t>
      </w:r>
    </w:p>
    <w:p w:rsidR="00000000" w:rsidDel="00000000" w:rsidP="00000000" w:rsidRDefault="00000000" w:rsidRPr="00000000" w14:paraId="0000000F">
      <w:pPr>
        <w:rPr/>
      </w:pPr>
      <w:r w:rsidDel="00000000" w:rsidR="00000000" w:rsidRPr="00000000">
        <w:rPr/>
        <w:drawing>
          <wp:inline distB="0" distT="0" distL="0" distR="0">
            <wp:extent cx="5934075" cy="2152650"/>
            <wp:effectExtent b="0" l="0" r="0" t="0"/>
            <wp:docPr id="1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34075"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Step 6: Paste the updated URL into the Static URL field, then click save.</w:t>
      </w:r>
    </w:p>
    <w:p w:rsidR="00000000" w:rsidDel="00000000" w:rsidP="00000000" w:rsidRDefault="00000000" w:rsidRPr="00000000" w14:paraId="00000012">
      <w:pPr>
        <w:rPr/>
      </w:pPr>
      <w:r w:rsidDel="00000000" w:rsidR="00000000" w:rsidRPr="00000000">
        <w:rPr/>
        <w:drawing>
          <wp:inline distB="0" distT="0" distL="0" distR="0">
            <wp:extent cx="5943600" cy="2133600"/>
            <wp:effectExtent b="0" l="0" r="0" t="0"/>
            <wp:docPr id="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02C1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02C1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902C1C"/>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02C1C"/>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902C1C"/>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902C1C"/>
    <w:rPr>
      <w:rFonts w:asciiTheme="majorHAnsi" w:cstheme="majorBidi" w:eastAsiaTheme="majorEastAsia" w:hAnsiTheme="majorHAnsi"/>
      <w:color w:val="1f3763" w:themeColor="accent1" w:themeShade="00007F"/>
      <w:sz w:val="24"/>
      <w:szCs w:val="24"/>
    </w:rPr>
  </w:style>
  <w:style w:type="paragraph" w:styleId="NoSpacing">
    <w:name w:val="No Spacing"/>
    <w:uiPriority w:val="1"/>
    <w:qFormat w:val="1"/>
    <w:rsid w:val="00902C1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2.png"/><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w8c1tmT/554A9fa4HPvUworOg==">AMUW2mWNs2Wly9dNO1xsXZqW9zJ0cLuJE8BUAx/r4QhjvaLds24VdXvGKBdv0/2BehnC6vn+0MDosPQ+13fD3CThvtYU0dqblA4bIhLOZqWlY6nwJvo2yo3T26jxxLcO4spdqK5ewQBT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2020-09-22T01:37:00Z</dcterms:created>
  <dc:creator>Jay Hartzell</dc:creator>
</cp:coreProperties>
</file>