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EC07" w14:textId="77777777" w:rsidR="00353723" w:rsidRDefault="00353723" w:rsidP="00F23789">
      <w:pPr>
        <w:ind w:left="90" w:firstLine="0"/>
      </w:pPr>
    </w:p>
    <w:p w14:paraId="1AC17A99" w14:textId="77777777" w:rsidR="00353723" w:rsidRDefault="00353723" w:rsidP="00F23789">
      <w:pPr>
        <w:ind w:left="90" w:firstLine="0"/>
        <w:jc w:val="center"/>
        <w:rPr>
          <w:b/>
          <w:bCs/>
          <w:sz w:val="36"/>
          <w:szCs w:val="36"/>
        </w:rPr>
      </w:pPr>
      <w:r w:rsidRPr="00353723">
        <w:rPr>
          <w:b/>
          <w:bCs/>
          <w:sz w:val="36"/>
          <w:szCs w:val="36"/>
        </w:rPr>
        <w:t xml:space="preserve">Questions and Answers – </w:t>
      </w:r>
    </w:p>
    <w:p w14:paraId="0B88FFF3" w14:textId="18A42AFE" w:rsidR="00353723" w:rsidRPr="00353723" w:rsidRDefault="00471E78" w:rsidP="00F23789">
      <w:pPr>
        <w:ind w:left="90" w:firstLine="0"/>
        <w:jc w:val="center"/>
        <w:rPr>
          <w:b/>
          <w:bCs/>
          <w:sz w:val="36"/>
          <w:szCs w:val="36"/>
        </w:rPr>
      </w:pPr>
      <w:r>
        <w:rPr>
          <w:b/>
          <w:bCs/>
          <w:sz w:val="36"/>
          <w:szCs w:val="36"/>
        </w:rPr>
        <w:t>Fulfillment Configuration Part I</w:t>
      </w:r>
    </w:p>
    <w:p w14:paraId="21CFC1E1" w14:textId="77777777" w:rsidR="00353723" w:rsidRDefault="00353723" w:rsidP="00F23789">
      <w:pPr>
        <w:ind w:left="90" w:firstLine="0"/>
      </w:pPr>
    </w:p>
    <w:p w14:paraId="2A8A33CD" w14:textId="55611B68" w:rsidR="00DB1D18" w:rsidRPr="006307BC" w:rsidRDefault="00DB1D18" w:rsidP="00DB1D18">
      <w:pPr>
        <w:ind w:left="180" w:firstLine="0"/>
        <w:rPr>
          <w:b/>
          <w:bCs/>
        </w:rPr>
      </w:pPr>
      <w:r w:rsidRPr="006307BC">
        <w:rPr>
          <w:b/>
          <w:bCs/>
        </w:rPr>
        <w:t xml:space="preserve">Is there </w:t>
      </w:r>
      <w:r w:rsidR="003664E0" w:rsidRPr="006307BC">
        <w:rPr>
          <w:b/>
          <w:bCs/>
        </w:rPr>
        <w:t xml:space="preserve">a </w:t>
      </w:r>
      <w:r w:rsidRPr="006307BC">
        <w:rPr>
          <w:b/>
          <w:bCs/>
        </w:rPr>
        <w:t xml:space="preserve">default Time to </w:t>
      </w:r>
      <w:r w:rsidR="003664E0" w:rsidRPr="006307BC">
        <w:rPr>
          <w:b/>
          <w:bCs/>
        </w:rPr>
        <w:t>reshelve if</w:t>
      </w:r>
      <w:r w:rsidRPr="006307BC">
        <w:rPr>
          <w:b/>
          <w:bCs/>
        </w:rPr>
        <w:t xml:space="preserve"> nothing is entered?</w:t>
      </w:r>
    </w:p>
    <w:p w14:paraId="02B9CC0F" w14:textId="4ECA82E7" w:rsidR="003664E0" w:rsidRDefault="003664E0" w:rsidP="00DB1D18">
      <w:pPr>
        <w:ind w:left="180" w:firstLine="0"/>
        <w:rPr>
          <w:b/>
          <w:bCs/>
          <w:color w:val="000000" w:themeColor="text1"/>
        </w:rPr>
      </w:pPr>
    </w:p>
    <w:p w14:paraId="4A0CB222" w14:textId="5E266EEB" w:rsidR="006307BC" w:rsidRPr="006307BC" w:rsidRDefault="006307BC" w:rsidP="00DB1D18">
      <w:pPr>
        <w:ind w:left="180" w:firstLine="0"/>
        <w:rPr>
          <w:color w:val="000000" w:themeColor="text1"/>
        </w:rPr>
      </w:pPr>
      <w:r w:rsidRPr="006307BC">
        <w:rPr>
          <w:color w:val="000000" w:themeColor="text1"/>
        </w:rPr>
        <w:t xml:space="preserve">The default </w:t>
      </w:r>
      <w:r w:rsidRPr="006307BC">
        <w:rPr>
          <w:i/>
          <w:iCs/>
          <w:color w:val="000000" w:themeColor="text1"/>
        </w:rPr>
        <w:t>Time to reshelve</w:t>
      </w:r>
      <w:r w:rsidRPr="006307BC">
        <w:rPr>
          <w:color w:val="000000" w:themeColor="text1"/>
        </w:rPr>
        <w:t xml:space="preserve"> will be 0 minutes or hours if nothing else is entered.</w:t>
      </w:r>
    </w:p>
    <w:p w14:paraId="037A1021" w14:textId="7CC984E5" w:rsidR="006307BC" w:rsidRDefault="006307BC" w:rsidP="00DB1D18">
      <w:pPr>
        <w:ind w:left="180" w:firstLine="0"/>
        <w:rPr>
          <w:b/>
          <w:bCs/>
          <w:color w:val="000000" w:themeColor="text1"/>
        </w:rPr>
      </w:pPr>
    </w:p>
    <w:p w14:paraId="59FC4D43" w14:textId="77777777" w:rsidR="006307BC" w:rsidRPr="006307BC" w:rsidRDefault="006307BC" w:rsidP="00DB1D18">
      <w:pPr>
        <w:ind w:left="180" w:firstLine="0"/>
        <w:rPr>
          <w:b/>
          <w:bCs/>
          <w:color w:val="000000" w:themeColor="text1"/>
        </w:rPr>
      </w:pPr>
    </w:p>
    <w:p w14:paraId="6B159700" w14:textId="09654EBC" w:rsidR="00DB1D18" w:rsidRPr="00DB1D18" w:rsidRDefault="00DB1D18" w:rsidP="00DB1D18">
      <w:pPr>
        <w:ind w:left="180" w:firstLine="0"/>
        <w:rPr>
          <w:b/>
          <w:bCs/>
          <w:color w:val="000000" w:themeColor="text1"/>
        </w:rPr>
      </w:pPr>
      <w:r w:rsidRPr="00DB1D18">
        <w:rPr>
          <w:b/>
          <w:bCs/>
          <w:color w:val="000000" w:themeColor="text1"/>
        </w:rPr>
        <w:t>I have the options: has hold shelf and has hold shelf processing.  What is the difference between these?</w:t>
      </w:r>
    </w:p>
    <w:p w14:paraId="7438084C" w14:textId="77777777" w:rsidR="003664E0" w:rsidRDefault="003664E0" w:rsidP="00DB1D18">
      <w:pPr>
        <w:ind w:left="180" w:firstLine="0"/>
        <w:rPr>
          <w:b/>
          <w:bCs/>
          <w:color w:val="000000" w:themeColor="text1"/>
        </w:rPr>
      </w:pPr>
    </w:p>
    <w:p w14:paraId="364EDAFA" w14:textId="6973210A" w:rsidR="00DB1D18" w:rsidRPr="003664E0" w:rsidRDefault="006307BC" w:rsidP="00DB1D18">
      <w:pPr>
        <w:ind w:left="180" w:firstLine="0"/>
        <w:rPr>
          <w:color w:val="000000" w:themeColor="text1"/>
        </w:rPr>
      </w:pPr>
      <w:r>
        <w:rPr>
          <w:i/>
          <w:iCs/>
          <w:color w:val="000000" w:themeColor="text1"/>
        </w:rPr>
        <w:t xml:space="preserve">Has hold shelf </w:t>
      </w:r>
      <w:r>
        <w:rPr>
          <w:color w:val="000000" w:themeColor="text1"/>
        </w:rPr>
        <w:t xml:space="preserve">indicates that the library allows patrons to make requests for </w:t>
      </w:r>
      <w:r>
        <w:rPr>
          <w:color w:val="000000" w:themeColor="text1"/>
        </w:rPr>
        <w:t>items that are either on loan or on the shelf</w:t>
      </w:r>
      <w:r>
        <w:rPr>
          <w:color w:val="000000" w:themeColor="text1"/>
        </w:rPr>
        <w:t xml:space="preserve">. </w:t>
      </w:r>
      <w:r w:rsidR="003664E0" w:rsidRPr="006307BC">
        <w:rPr>
          <w:i/>
          <w:iCs/>
          <w:color w:val="000000" w:themeColor="text1"/>
        </w:rPr>
        <w:t>H</w:t>
      </w:r>
      <w:r w:rsidR="00DB1D18" w:rsidRPr="006307BC">
        <w:rPr>
          <w:i/>
          <w:iCs/>
          <w:color w:val="000000" w:themeColor="text1"/>
        </w:rPr>
        <w:t>as hold shelf processing</w:t>
      </w:r>
      <w:r w:rsidR="00DB1D18" w:rsidRPr="003664E0">
        <w:rPr>
          <w:color w:val="000000" w:themeColor="text1"/>
        </w:rPr>
        <w:t xml:space="preserve"> is used to indicate that the </w:t>
      </w:r>
      <w:r>
        <w:rPr>
          <w:color w:val="000000" w:themeColor="text1"/>
        </w:rPr>
        <w:t>C</w:t>
      </w:r>
      <w:r w:rsidR="00DB1D18" w:rsidRPr="003664E0">
        <w:rPr>
          <w:color w:val="000000" w:themeColor="text1"/>
        </w:rPr>
        <w:t xml:space="preserve">irculation </w:t>
      </w:r>
      <w:r>
        <w:rPr>
          <w:color w:val="000000" w:themeColor="text1"/>
        </w:rPr>
        <w:t>D</w:t>
      </w:r>
      <w:r w:rsidR="00DB1D18" w:rsidRPr="003664E0">
        <w:rPr>
          <w:color w:val="000000" w:themeColor="text1"/>
        </w:rPr>
        <w:t xml:space="preserve">esk can store items that need to be processed before </w:t>
      </w:r>
      <w:r>
        <w:rPr>
          <w:color w:val="000000" w:themeColor="text1"/>
        </w:rPr>
        <w:t xml:space="preserve">they are placed on </w:t>
      </w:r>
      <w:r w:rsidR="00DB1D18" w:rsidRPr="003664E0">
        <w:rPr>
          <w:color w:val="000000" w:themeColor="text1"/>
        </w:rPr>
        <w:t xml:space="preserve">the </w:t>
      </w:r>
      <w:r>
        <w:rPr>
          <w:color w:val="000000" w:themeColor="text1"/>
        </w:rPr>
        <w:t>H</w:t>
      </w:r>
      <w:r w:rsidR="00DB1D18" w:rsidRPr="003664E0">
        <w:rPr>
          <w:color w:val="000000" w:themeColor="text1"/>
        </w:rPr>
        <w:t xml:space="preserve">old </w:t>
      </w:r>
      <w:r>
        <w:rPr>
          <w:color w:val="000000" w:themeColor="text1"/>
        </w:rPr>
        <w:t>S</w:t>
      </w:r>
      <w:r w:rsidR="00DB1D18" w:rsidRPr="003664E0">
        <w:rPr>
          <w:color w:val="000000" w:themeColor="text1"/>
        </w:rPr>
        <w:t>helf</w:t>
      </w:r>
      <w:r>
        <w:rPr>
          <w:color w:val="000000" w:themeColor="text1"/>
        </w:rPr>
        <w:t xml:space="preserve"> and the patron is notified that they are available</w:t>
      </w:r>
      <w:r w:rsidR="00DB1D18" w:rsidRPr="003664E0">
        <w:rPr>
          <w:color w:val="000000" w:themeColor="text1"/>
        </w:rPr>
        <w:t xml:space="preserve">. </w:t>
      </w:r>
    </w:p>
    <w:p w14:paraId="0A338BF4" w14:textId="74A576B8" w:rsidR="00DB1D18" w:rsidRPr="00DB1D18" w:rsidRDefault="00DB1D18" w:rsidP="00DB1D18">
      <w:pPr>
        <w:ind w:left="180" w:firstLine="0"/>
        <w:rPr>
          <w:b/>
          <w:bCs/>
          <w:color w:val="000000" w:themeColor="text1"/>
        </w:rPr>
      </w:pPr>
    </w:p>
    <w:p w14:paraId="768CCF07" w14:textId="0AC86FB3" w:rsidR="00DB1D18" w:rsidRPr="00C51DC4" w:rsidRDefault="00DB1D18" w:rsidP="00DB1D18">
      <w:pPr>
        <w:ind w:left="180" w:firstLine="0"/>
        <w:rPr>
          <w:b/>
          <w:bCs/>
        </w:rPr>
      </w:pPr>
      <w:r w:rsidRPr="00C51DC4">
        <w:rPr>
          <w:b/>
          <w:bCs/>
        </w:rPr>
        <w:t>Can you unpack the hold shelf processing concept?</w:t>
      </w:r>
    </w:p>
    <w:p w14:paraId="3D3EBEEE" w14:textId="77777777" w:rsidR="003664E0" w:rsidRDefault="003664E0" w:rsidP="001B2136">
      <w:pPr>
        <w:ind w:left="0" w:firstLine="0"/>
        <w:rPr>
          <w:b/>
          <w:bCs/>
          <w:color w:val="000000" w:themeColor="text1"/>
        </w:rPr>
      </w:pPr>
    </w:p>
    <w:p w14:paraId="342A7E1B" w14:textId="00C77B44" w:rsidR="00DB1D18" w:rsidRDefault="006E184C" w:rsidP="00555D74">
      <w:pPr>
        <w:ind w:left="180" w:firstLine="0"/>
        <w:rPr>
          <w:color w:val="000000" w:themeColor="text1"/>
        </w:rPr>
      </w:pPr>
      <w:r>
        <w:rPr>
          <w:color w:val="000000" w:themeColor="text1"/>
        </w:rPr>
        <w:t xml:space="preserve">Hold shelf processing is an option that some libraries </w:t>
      </w:r>
      <w:r w:rsidR="00555D74">
        <w:rPr>
          <w:color w:val="000000" w:themeColor="text1"/>
        </w:rPr>
        <w:t>use to provide a little time to store and examine Hold Shelf items before they are made available to requestors. This interval gives the staff operator and opportunity to review the condition of items returned, confirming that all pieces have been returned or to determine if there is anything urgent that relates to the physical item in hand. Basically, this means that the item is deemed to be</w:t>
      </w:r>
      <w:r w:rsidR="00DB1D18" w:rsidRPr="001B2136">
        <w:rPr>
          <w:color w:val="000000" w:themeColor="text1"/>
        </w:rPr>
        <w:t xml:space="preserve"> not yet ready for the hold shelf</w:t>
      </w:r>
      <w:r w:rsidR="00555D74">
        <w:rPr>
          <w:color w:val="000000" w:themeColor="text1"/>
        </w:rPr>
        <w:t>.</w:t>
      </w:r>
      <w:r w:rsidR="00DB1D18" w:rsidRPr="001B2136">
        <w:rPr>
          <w:color w:val="000000" w:themeColor="text1"/>
        </w:rPr>
        <w:t xml:space="preserve"> </w:t>
      </w:r>
      <w:r w:rsidR="00555D74">
        <w:rPr>
          <w:color w:val="000000" w:themeColor="text1"/>
        </w:rPr>
        <w:t xml:space="preserve">Once hold shelf processing is complete, the item is scanned at the relevant Circulation Desk after which it </w:t>
      </w:r>
      <w:r w:rsidR="00DB1D18" w:rsidRPr="001B2136">
        <w:rPr>
          <w:color w:val="000000" w:themeColor="text1"/>
        </w:rPr>
        <w:t xml:space="preserve">is placed on the </w:t>
      </w:r>
      <w:r w:rsidR="00555D74">
        <w:rPr>
          <w:color w:val="000000" w:themeColor="text1"/>
        </w:rPr>
        <w:t>H</w:t>
      </w:r>
      <w:r w:rsidR="00DB1D18" w:rsidRPr="001B2136">
        <w:rPr>
          <w:color w:val="000000" w:themeColor="text1"/>
        </w:rPr>
        <w:t xml:space="preserve">old </w:t>
      </w:r>
      <w:r w:rsidR="00555D74">
        <w:rPr>
          <w:color w:val="000000" w:themeColor="text1"/>
        </w:rPr>
        <w:t>S</w:t>
      </w:r>
      <w:r w:rsidR="00DB1D18" w:rsidRPr="001B2136">
        <w:rPr>
          <w:color w:val="000000" w:themeColor="text1"/>
        </w:rPr>
        <w:t>helf</w:t>
      </w:r>
      <w:r w:rsidR="00555D74">
        <w:rPr>
          <w:color w:val="000000" w:themeColor="text1"/>
        </w:rPr>
        <w:t>. At that time, or</w:t>
      </w:r>
      <w:r w:rsidR="006307BC">
        <w:rPr>
          <w:color w:val="000000" w:themeColor="text1"/>
        </w:rPr>
        <w:t>,</w:t>
      </w:r>
      <w:r w:rsidR="00555D74">
        <w:rPr>
          <w:color w:val="000000" w:themeColor="text1"/>
        </w:rPr>
        <w:t xml:space="preserve"> depending on the setting for </w:t>
      </w:r>
      <w:r w:rsidR="00555D74">
        <w:rPr>
          <w:i/>
          <w:iCs/>
          <w:color w:val="000000" w:themeColor="text1"/>
        </w:rPr>
        <w:t>Delay for hold notification</w:t>
      </w:r>
      <w:r w:rsidR="00DB1D18" w:rsidRPr="001B2136">
        <w:rPr>
          <w:color w:val="000000" w:themeColor="text1"/>
        </w:rPr>
        <w:t xml:space="preserve">, </w:t>
      </w:r>
      <w:r w:rsidR="00555D74">
        <w:rPr>
          <w:color w:val="000000" w:themeColor="text1"/>
        </w:rPr>
        <w:t xml:space="preserve">the requesting patron is sent notification indicating </w:t>
      </w:r>
      <w:r w:rsidR="00DB1D18" w:rsidRPr="001B2136">
        <w:rPr>
          <w:color w:val="000000" w:themeColor="text1"/>
        </w:rPr>
        <w:t xml:space="preserve">that the item is ready for pickup at the </w:t>
      </w:r>
      <w:r w:rsidR="00555D74">
        <w:rPr>
          <w:color w:val="000000" w:themeColor="text1"/>
        </w:rPr>
        <w:t>H</w:t>
      </w:r>
      <w:r w:rsidR="00DB1D18" w:rsidRPr="001B2136">
        <w:rPr>
          <w:color w:val="000000" w:themeColor="text1"/>
        </w:rPr>
        <w:t xml:space="preserve">old </w:t>
      </w:r>
      <w:r w:rsidR="00555D74">
        <w:rPr>
          <w:color w:val="000000" w:themeColor="text1"/>
        </w:rPr>
        <w:t>S</w:t>
      </w:r>
      <w:r w:rsidR="00DB1D18" w:rsidRPr="001B2136">
        <w:rPr>
          <w:color w:val="000000" w:themeColor="text1"/>
        </w:rPr>
        <w:t>helf</w:t>
      </w:r>
      <w:r w:rsidR="00555D74">
        <w:rPr>
          <w:color w:val="000000" w:themeColor="text1"/>
        </w:rPr>
        <w:t>.</w:t>
      </w:r>
    </w:p>
    <w:p w14:paraId="7FD09220" w14:textId="7F82DF31" w:rsidR="006307BC" w:rsidRDefault="006307BC" w:rsidP="00555D74">
      <w:pPr>
        <w:ind w:left="180" w:firstLine="0"/>
        <w:rPr>
          <w:color w:val="000000" w:themeColor="text1"/>
        </w:rPr>
      </w:pPr>
    </w:p>
    <w:p w14:paraId="5AB9530F" w14:textId="19D3F23D" w:rsidR="006307BC" w:rsidRDefault="006307BC" w:rsidP="00555D74">
      <w:pPr>
        <w:ind w:left="180" w:firstLine="0"/>
        <w:rPr>
          <w:color w:val="000000" w:themeColor="text1"/>
        </w:rPr>
      </w:pPr>
      <w:r>
        <w:rPr>
          <w:color w:val="000000" w:themeColor="text1"/>
        </w:rPr>
        <w:t>Two important bits of information regarding hold shelf processing</w:t>
      </w:r>
      <w:r w:rsidR="00951B6A">
        <w:rPr>
          <w:color w:val="000000" w:themeColor="text1"/>
        </w:rPr>
        <w:t>. F</w:t>
      </w:r>
      <w:r>
        <w:rPr>
          <w:color w:val="000000" w:themeColor="text1"/>
        </w:rPr>
        <w:t xml:space="preserve">irst, a staff operator can bypass the Hold Shelf Processing interval by </w:t>
      </w:r>
      <w:r w:rsidR="00951B6A">
        <w:rPr>
          <w:color w:val="000000" w:themeColor="text1"/>
        </w:rPr>
        <w:t xml:space="preserve">enabling the option, </w:t>
      </w:r>
      <w:proofErr w:type="gramStart"/>
      <w:r w:rsidR="00951B6A">
        <w:rPr>
          <w:b/>
          <w:bCs/>
          <w:color w:val="000000" w:themeColor="text1"/>
        </w:rPr>
        <w:t>Place</w:t>
      </w:r>
      <w:proofErr w:type="gramEnd"/>
      <w:r w:rsidR="00951B6A">
        <w:rPr>
          <w:b/>
          <w:bCs/>
          <w:color w:val="000000" w:themeColor="text1"/>
        </w:rPr>
        <w:t xml:space="preserve"> directly on hold shelf</w:t>
      </w:r>
      <w:r w:rsidR="00951B6A">
        <w:rPr>
          <w:color w:val="000000" w:themeColor="text1"/>
        </w:rPr>
        <w:t>, when using the Scan in Items workbench. Second, using hold shelf processing requires a second scan of the items before they are put on the Hold Shelf and the patron receives notification of availability.</w:t>
      </w:r>
    </w:p>
    <w:p w14:paraId="7300CDC6" w14:textId="77777777" w:rsidR="00C51DC4" w:rsidRPr="00951B6A" w:rsidRDefault="00C51DC4" w:rsidP="00555D74">
      <w:pPr>
        <w:ind w:left="180" w:firstLine="0"/>
        <w:rPr>
          <w:color w:val="000000" w:themeColor="text1"/>
        </w:rPr>
      </w:pPr>
    </w:p>
    <w:p w14:paraId="1CA2944A" w14:textId="77777777" w:rsidR="001B2136" w:rsidRPr="00DB1D18" w:rsidRDefault="001B2136" w:rsidP="00DB1D18">
      <w:pPr>
        <w:ind w:left="180" w:firstLine="0"/>
        <w:rPr>
          <w:b/>
          <w:bCs/>
          <w:color w:val="000000" w:themeColor="text1"/>
        </w:rPr>
      </w:pPr>
    </w:p>
    <w:p w14:paraId="5D34A61A" w14:textId="00E306F1" w:rsidR="00DB1D18" w:rsidRDefault="001B2136" w:rsidP="00DB1D18">
      <w:pPr>
        <w:ind w:left="180" w:firstLine="0"/>
        <w:rPr>
          <w:b/>
          <w:bCs/>
          <w:color w:val="000000" w:themeColor="text1"/>
        </w:rPr>
      </w:pPr>
      <w:r>
        <w:rPr>
          <w:b/>
          <w:bCs/>
          <w:color w:val="000000" w:themeColor="text1"/>
        </w:rPr>
        <w:t>We</w:t>
      </w:r>
      <w:r w:rsidR="00DB1D18" w:rsidRPr="00DB1D18">
        <w:rPr>
          <w:b/>
          <w:bCs/>
          <w:color w:val="000000" w:themeColor="text1"/>
        </w:rPr>
        <w:t xml:space="preserve"> have seen the behaviour that if a hold shelf is turned OFF, NO CAMPUS or no option show in the Pickup location for patrons placing requests. Also</w:t>
      </w:r>
      <w:r w:rsidR="00C51DC4">
        <w:rPr>
          <w:b/>
          <w:bCs/>
          <w:color w:val="000000" w:themeColor="text1"/>
        </w:rPr>
        <w:t>,</w:t>
      </w:r>
      <w:r w:rsidR="00DB1D18" w:rsidRPr="00DB1D18">
        <w:rPr>
          <w:b/>
          <w:bCs/>
          <w:color w:val="000000" w:themeColor="text1"/>
        </w:rPr>
        <w:t xml:space="preserve"> requests do not route properly. </w:t>
      </w:r>
    </w:p>
    <w:p w14:paraId="33A963AC" w14:textId="77777777" w:rsidR="001B2136" w:rsidRPr="00DB1D18" w:rsidRDefault="001B2136" w:rsidP="00DB1D18">
      <w:pPr>
        <w:ind w:left="180" w:firstLine="0"/>
        <w:rPr>
          <w:b/>
          <w:bCs/>
          <w:color w:val="000000" w:themeColor="text1"/>
        </w:rPr>
      </w:pPr>
    </w:p>
    <w:p w14:paraId="47D51A8C" w14:textId="701B13DC" w:rsidR="00DB1D18" w:rsidRDefault="00555D74" w:rsidP="00DB1D18">
      <w:pPr>
        <w:ind w:left="180" w:firstLine="0"/>
        <w:rPr>
          <w:color w:val="000000" w:themeColor="text1"/>
        </w:rPr>
      </w:pPr>
      <w:r>
        <w:rPr>
          <w:color w:val="000000" w:themeColor="text1"/>
        </w:rPr>
        <w:t>If libraries allow patrons to request items</w:t>
      </w:r>
      <w:r w:rsidR="006307BC">
        <w:rPr>
          <w:color w:val="000000" w:themeColor="text1"/>
        </w:rPr>
        <w:t xml:space="preserve"> that are either on loan or on the shelf, the Hold Shelf for that Circulation Desk must be enabled. In this way, libraries can</w:t>
      </w:r>
      <w:r w:rsidR="00E512F7" w:rsidRPr="00E512F7">
        <w:rPr>
          <w:color w:val="000000" w:themeColor="text1"/>
        </w:rPr>
        <w:t xml:space="preserve"> process </w:t>
      </w:r>
      <w:r w:rsidR="006307BC">
        <w:rPr>
          <w:color w:val="000000" w:themeColor="text1"/>
        </w:rPr>
        <w:t xml:space="preserve">the </w:t>
      </w:r>
      <w:r w:rsidR="00E512F7" w:rsidRPr="00E512F7">
        <w:rPr>
          <w:color w:val="000000" w:themeColor="text1"/>
        </w:rPr>
        <w:t>requests</w:t>
      </w:r>
      <w:r w:rsidR="006307BC">
        <w:rPr>
          <w:color w:val="000000" w:themeColor="text1"/>
        </w:rPr>
        <w:t xml:space="preserve"> properly, routing them appropriately</w:t>
      </w:r>
      <w:r w:rsidR="00E512F7" w:rsidRPr="00E512F7">
        <w:rPr>
          <w:color w:val="000000" w:themeColor="text1"/>
        </w:rPr>
        <w:t>.</w:t>
      </w:r>
    </w:p>
    <w:p w14:paraId="286F5A5D" w14:textId="208DEF25" w:rsidR="00E512F7" w:rsidRDefault="00E512F7" w:rsidP="00DB1D18">
      <w:pPr>
        <w:ind w:left="180" w:firstLine="0"/>
        <w:rPr>
          <w:color w:val="000000" w:themeColor="text1"/>
        </w:rPr>
      </w:pPr>
    </w:p>
    <w:p w14:paraId="001C1CA3" w14:textId="77777777" w:rsidR="00C51DC4" w:rsidRPr="001B2136" w:rsidRDefault="00C51DC4" w:rsidP="00DB1D18">
      <w:pPr>
        <w:ind w:left="180" w:firstLine="0"/>
        <w:rPr>
          <w:color w:val="000000" w:themeColor="text1"/>
        </w:rPr>
      </w:pPr>
    </w:p>
    <w:p w14:paraId="38716E9C" w14:textId="7C47E044" w:rsidR="00DB1D18" w:rsidRPr="00DB1D18" w:rsidRDefault="00DB1D18" w:rsidP="00DB1D18">
      <w:pPr>
        <w:ind w:left="180" w:firstLine="0"/>
        <w:rPr>
          <w:b/>
          <w:bCs/>
          <w:color w:val="000000" w:themeColor="text1"/>
        </w:rPr>
      </w:pPr>
      <w:r w:rsidRPr="00DB1D18">
        <w:rPr>
          <w:b/>
          <w:bCs/>
          <w:color w:val="000000" w:themeColor="text1"/>
        </w:rPr>
        <w:t xml:space="preserve">We were told that if </w:t>
      </w:r>
      <w:r w:rsidR="009E0A39">
        <w:rPr>
          <w:b/>
          <w:bCs/>
          <w:color w:val="000000" w:themeColor="text1"/>
        </w:rPr>
        <w:t xml:space="preserve">we select </w:t>
      </w:r>
      <w:r w:rsidRPr="00DB1D18">
        <w:rPr>
          <w:b/>
          <w:bCs/>
          <w:color w:val="000000" w:themeColor="text1"/>
        </w:rPr>
        <w:t>Handle Automatically that it wouldn't even alert us. Is that correct?</w:t>
      </w:r>
    </w:p>
    <w:p w14:paraId="26E2BCAA" w14:textId="77777777" w:rsidR="009E0A39" w:rsidRDefault="009E0A39" w:rsidP="00DB1D18">
      <w:pPr>
        <w:ind w:left="180" w:firstLine="0"/>
        <w:rPr>
          <w:color w:val="000000" w:themeColor="text1"/>
        </w:rPr>
      </w:pPr>
    </w:p>
    <w:p w14:paraId="72AD2006" w14:textId="2F32E6BC" w:rsidR="00DB1D18" w:rsidRPr="009E0A39" w:rsidRDefault="009E0A39" w:rsidP="00DB1D18">
      <w:pPr>
        <w:ind w:left="180" w:firstLine="0"/>
        <w:rPr>
          <w:color w:val="000000" w:themeColor="text1"/>
        </w:rPr>
      </w:pPr>
      <w:r w:rsidRPr="009E0A39">
        <w:rPr>
          <w:color w:val="000000" w:themeColor="text1"/>
        </w:rPr>
        <w:t>That</w:t>
      </w:r>
      <w:r w:rsidR="00DB1D18" w:rsidRPr="009E0A39">
        <w:rPr>
          <w:color w:val="000000" w:themeColor="text1"/>
        </w:rPr>
        <w:t xml:space="preserve"> is correct. If using </w:t>
      </w:r>
      <w:r w:rsidR="006307BC">
        <w:rPr>
          <w:color w:val="000000" w:themeColor="text1"/>
        </w:rPr>
        <w:t>“</w:t>
      </w:r>
      <w:r w:rsidR="00DB1D18" w:rsidRPr="009E0A39">
        <w:rPr>
          <w:color w:val="000000" w:themeColor="text1"/>
        </w:rPr>
        <w:t>handle automatically</w:t>
      </w:r>
      <w:r w:rsidR="006307BC">
        <w:rPr>
          <w:color w:val="000000" w:themeColor="text1"/>
        </w:rPr>
        <w:t>,”</w:t>
      </w:r>
      <w:r w:rsidR="00DB1D18" w:rsidRPr="009E0A39">
        <w:rPr>
          <w:color w:val="000000" w:themeColor="text1"/>
        </w:rPr>
        <w:t xml:space="preserve"> the action happens automatically</w:t>
      </w:r>
      <w:r w:rsidR="006307BC">
        <w:rPr>
          <w:color w:val="000000" w:themeColor="text1"/>
        </w:rPr>
        <w:t>,</w:t>
      </w:r>
      <w:r w:rsidR="00DB1D18" w:rsidRPr="009E0A39">
        <w:rPr>
          <w:color w:val="000000" w:themeColor="text1"/>
        </w:rPr>
        <w:t xml:space="preserve"> behind the scenes</w:t>
      </w:r>
      <w:r w:rsidR="006307BC">
        <w:rPr>
          <w:color w:val="000000" w:themeColor="text1"/>
        </w:rPr>
        <w:t>,</w:t>
      </w:r>
      <w:r w:rsidR="00DB1D18" w:rsidRPr="009E0A39">
        <w:rPr>
          <w:color w:val="000000" w:themeColor="text1"/>
        </w:rPr>
        <w:t xml:space="preserve"> according to the handler selected in the Block Preferences table.</w:t>
      </w:r>
    </w:p>
    <w:p w14:paraId="55556405" w14:textId="51834F0D" w:rsidR="005075A7" w:rsidRDefault="005075A7" w:rsidP="00DB1D18">
      <w:pPr>
        <w:ind w:left="180" w:firstLine="0"/>
        <w:rPr>
          <w:b/>
          <w:bCs/>
          <w:color w:val="000000" w:themeColor="text1"/>
        </w:rPr>
      </w:pPr>
    </w:p>
    <w:p w14:paraId="357C7FE7" w14:textId="77777777" w:rsidR="00C51DC4" w:rsidRDefault="00C51DC4" w:rsidP="00DB1D18">
      <w:pPr>
        <w:ind w:left="180" w:firstLine="0"/>
        <w:rPr>
          <w:b/>
          <w:bCs/>
          <w:color w:val="000000" w:themeColor="text1"/>
        </w:rPr>
      </w:pPr>
    </w:p>
    <w:p w14:paraId="2D9558AE" w14:textId="77777777" w:rsidR="00C51DC4" w:rsidRDefault="00C51DC4">
      <w:pPr>
        <w:rPr>
          <w:b/>
          <w:bCs/>
          <w:color w:val="FF0000"/>
        </w:rPr>
      </w:pPr>
      <w:r>
        <w:rPr>
          <w:b/>
          <w:bCs/>
          <w:color w:val="FF0000"/>
        </w:rPr>
        <w:br w:type="page"/>
      </w:r>
    </w:p>
    <w:p w14:paraId="38DA5AEF" w14:textId="044386C1" w:rsidR="00DB1D18" w:rsidRPr="00C51DC4" w:rsidRDefault="00DB1D18" w:rsidP="00DB1D18">
      <w:pPr>
        <w:ind w:left="180" w:firstLine="0"/>
      </w:pPr>
      <w:r w:rsidRPr="00C51DC4">
        <w:rPr>
          <w:b/>
          <w:bCs/>
        </w:rPr>
        <w:lastRenderedPageBreak/>
        <w:t>Can you show how to set up policy to Anonymize Fines and Fees 1 year after paid?</w:t>
      </w:r>
    </w:p>
    <w:p w14:paraId="621B1824" w14:textId="5020810D" w:rsidR="00A41CFE" w:rsidRDefault="00A41CFE" w:rsidP="00DB1D18">
      <w:pPr>
        <w:ind w:left="180" w:firstLine="0"/>
      </w:pPr>
    </w:p>
    <w:p w14:paraId="0A039FAD" w14:textId="183D695F" w:rsidR="00CB6FAF" w:rsidRDefault="00CB6FAF" w:rsidP="00DB1D18">
      <w:pPr>
        <w:ind w:left="180" w:firstLine="0"/>
      </w:pPr>
      <w:r>
        <w:t xml:space="preserve">Begin by going to Configuration &gt; Fulfillment Configuration &gt; Fulfillment Jobs Configuration and scroll to the </w:t>
      </w:r>
      <w:r>
        <w:rPr>
          <w:i/>
          <w:iCs/>
        </w:rPr>
        <w:t>Anonymization Job</w:t>
      </w:r>
      <w:r>
        <w:t xml:space="preserve"> section.</w:t>
      </w:r>
    </w:p>
    <w:p w14:paraId="07002B9F" w14:textId="2C961887" w:rsidR="00CB6FAF" w:rsidRDefault="00CB6FAF" w:rsidP="00DB1D18">
      <w:pPr>
        <w:ind w:left="180" w:firstLine="0"/>
      </w:pPr>
    </w:p>
    <w:p w14:paraId="1537BB80" w14:textId="2CA946FF" w:rsidR="00CB6FAF" w:rsidRDefault="00CB6FAF" w:rsidP="00DB1D18">
      <w:pPr>
        <w:ind w:left="180" w:firstLine="0"/>
      </w:pPr>
      <w:r>
        <w:rPr>
          <w:noProof/>
        </w:rPr>
        <w:drawing>
          <wp:inline distT="0" distB="0" distL="0" distR="0" wp14:anchorId="7E90CE72" wp14:editId="3B043D1D">
            <wp:extent cx="6858000" cy="2299970"/>
            <wp:effectExtent l="19050" t="19050" r="1905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299970"/>
                    </a:xfrm>
                    <a:prstGeom prst="rect">
                      <a:avLst/>
                    </a:prstGeom>
                    <a:ln>
                      <a:solidFill>
                        <a:schemeClr val="tx1"/>
                      </a:solidFill>
                    </a:ln>
                  </pic:spPr>
                </pic:pic>
              </a:graphicData>
            </a:graphic>
          </wp:inline>
        </w:drawing>
      </w:r>
    </w:p>
    <w:p w14:paraId="751566B8" w14:textId="121F6039" w:rsidR="00CB6FAF" w:rsidRDefault="00CB6FAF" w:rsidP="00DB1D18">
      <w:pPr>
        <w:ind w:left="180" w:firstLine="0"/>
      </w:pPr>
    </w:p>
    <w:p w14:paraId="19BF858F" w14:textId="404E1418" w:rsidR="00CB6FAF" w:rsidRPr="00D37EDC" w:rsidRDefault="00CB6FAF" w:rsidP="00DB1D18">
      <w:pPr>
        <w:ind w:left="180" w:firstLine="0"/>
      </w:pPr>
      <w:r>
        <w:t xml:space="preserve">Click on the link for </w:t>
      </w:r>
      <w:r>
        <w:rPr>
          <w:b/>
          <w:bCs/>
        </w:rPr>
        <w:t>Fines and Fees Anonymization Rules</w:t>
      </w:r>
      <w:r w:rsidR="00D37EDC">
        <w:t xml:space="preserve"> to open the rules list. Click on </w:t>
      </w:r>
      <w:r w:rsidR="00D37EDC">
        <w:rPr>
          <w:b/>
          <w:bCs/>
        </w:rPr>
        <w:t>Add Rule</w:t>
      </w:r>
      <w:r w:rsidR="00D37EDC">
        <w:t>…</w:t>
      </w:r>
    </w:p>
    <w:p w14:paraId="58BB1ACF" w14:textId="0FB57144" w:rsidR="00CB6FAF" w:rsidRDefault="00CB6FAF" w:rsidP="00DB1D18">
      <w:pPr>
        <w:ind w:left="180" w:firstLine="0"/>
      </w:pPr>
      <w:r>
        <w:rPr>
          <w:noProof/>
        </w:rPr>
        <w:drawing>
          <wp:inline distT="0" distB="0" distL="0" distR="0" wp14:anchorId="73EEFFCA" wp14:editId="72AA70C7">
            <wp:extent cx="6858000" cy="2976880"/>
            <wp:effectExtent l="19050" t="19050" r="1905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976880"/>
                    </a:xfrm>
                    <a:prstGeom prst="rect">
                      <a:avLst/>
                    </a:prstGeom>
                    <a:ln>
                      <a:solidFill>
                        <a:schemeClr val="tx1"/>
                      </a:solidFill>
                    </a:ln>
                  </pic:spPr>
                </pic:pic>
              </a:graphicData>
            </a:graphic>
          </wp:inline>
        </w:drawing>
      </w:r>
      <w:r>
        <w:t xml:space="preserve"> </w:t>
      </w:r>
    </w:p>
    <w:p w14:paraId="3EC6F1A1" w14:textId="7130829B" w:rsidR="00CB6FAF" w:rsidRDefault="00CB6FAF" w:rsidP="00DB1D18">
      <w:pPr>
        <w:ind w:left="180" w:firstLine="0"/>
      </w:pPr>
    </w:p>
    <w:p w14:paraId="6D0F5B55" w14:textId="0E4439C8" w:rsidR="00CB6FAF" w:rsidRDefault="00D37EDC" w:rsidP="00DB1D18">
      <w:pPr>
        <w:ind w:left="180" w:firstLine="0"/>
      </w:pPr>
      <w:r>
        <w:t>…</w:t>
      </w:r>
      <w:r w:rsidR="00B119DD">
        <w:t>and enter a name for the rule (description is optional).</w:t>
      </w:r>
    </w:p>
    <w:p w14:paraId="6F330A9F" w14:textId="6A69652D" w:rsidR="00B119DD" w:rsidRDefault="00B119DD" w:rsidP="00DB1D18">
      <w:pPr>
        <w:ind w:left="180" w:firstLine="0"/>
      </w:pPr>
      <w:r>
        <w:rPr>
          <w:noProof/>
        </w:rPr>
        <w:lastRenderedPageBreak/>
        <w:drawing>
          <wp:inline distT="0" distB="0" distL="0" distR="0" wp14:anchorId="4258505B" wp14:editId="715A1701">
            <wp:extent cx="6858000" cy="1673860"/>
            <wp:effectExtent l="19050" t="19050" r="19050"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673860"/>
                    </a:xfrm>
                    <a:prstGeom prst="rect">
                      <a:avLst/>
                    </a:prstGeom>
                    <a:ln>
                      <a:solidFill>
                        <a:schemeClr val="tx1"/>
                      </a:solidFill>
                    </a:ln>
                  </pic:spPr>
                </pic:pic>
              </a:graphicData>
            </a:graphic>
          </wp:inline>
        </w:drawing>
      </w:r>
    </w:p>
    <w:p w14:paraId="685B600A" w14:textId="30EDF66E" w:rsidR="00B119DD" w:rsidRDefault="00B119DD" w:rsidP="00DB1D18">
      <w:pPr>
        <w:ind w:left="180" w:firstLine="0"/>
      </w:pPr>
    </w:p>
    <w:p w14:paraId="3413ACE8" w14:textId="3679A3DA" w:rsidR="00B119DD" w:rsidRDefault="00B119DD" w:rsidP="00DB1D18">
      <w:pPr>
        <w:ind w:left="180" w:firstLine="0"/>
      </w:pPr>
      <w:r>
        <w:t xml:space="preserve">Go to the </w:t>
      </w:r>
      <w:r w:rsidRPr="00B119DD">
        <w:rPr>
          <w:i/>
          <w:iCs/>
        </w:rPr>
        <w:t>Input Parameters</w:t>
      </w:r>
      <w:r>
        <w:t xml:space="preserve"> section and click on </w:t>
      </w:r>
      <w:r>
        <w:rPr>
          <w:b/>
          <w:bCs/>
        </w:rPr>
        <w:t>Add Parameter</w:t>
      </w:r>
      <w:r w:rsidR="00551E6E">
        <w:t>.</w:t>
      </w:r>
    </w:p>
    <w:p w14:paraId="738FBF07" w14:textId="654C4936" w:rsidR="00551E6E" w:rsidRPr="00551E6E" w:rsidRDefault="00551E6E" w:rsidP="00DB1D18">
      <w:pPr>
        <w:ind w:left="180" w:firstLine="0"/>
      </w:pPr>
      <w:r>
        <w:rPr>
          <w:noProof/>
        </w:rPr>
        <w:drawing>
          <wp:inline distT="0" distB="0" distL="0" distR="0" wp14:anchorId="3AA18A3D" wp14:editId="0302F6A3">
            <wp:extent cx="6858000" cy="2287905"/>
            <wp:effectExtent l="19050" t="19050" r="1905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2287905"/>
                    </a:xfrm>
                    <a:prstGeom prst="rect">
                      <a:avLst/>
                    </a:prstGeom>
                    <a:ln>
                      <a:solidFill>
                        <a:schemeClr val="tx1"/>
                      </a:solidFill>
                    </a:ln>
                  </pic:spPr>
                </pic:pic>
              </a:graphicData>
            </a:graphic>
          </wp:inline>
        </w:drawing>
      </w:r>
    </w:p>
    <w:p w14:paraId="030E3EE1" w14:textId="23BC8151" w:rsidR="00CB6FAF" w:rsidRDefault="00CB6FAF" w:rsidP="00DB1D18">
      <w:pPr>
        <w:ind w:left="180" w:firstLine="0"/>
      </w:pPr>
    </w:p>
    <w:p w14:paraId="11B9B974" w14:textId="23279D73" w:rsidR="00551E6E" w:rsidRPr="00551E6E" w:rsidRDefault="00551E6E" w:rsidP="00DB1D18">
      <w:pPr>
        <w:ind w:left="180" w:firstLine="0"/>
      </w:pPr>
      <w:r>
        <w:t xml:space="preserve">Choose and enter the appropriate parameters. In this case, </w:t>
      </w:r>
      <w:r>
        <w:rPr>
          <w:b/>
          <w:bCs/>
        </w:rPr>
        <w:t>Name = Days Since Fine/Fee Closed</w:t>
      </w:r>
      <w:r>
        <w:t xml:space="preserve">, </w:t>
      </w:r>
      <w:r>
        <w:rPr>
          <w:b/>
          <w:bCs/>
        </w:rPr>
        <w:t>Operator is =</w:t>
      </w:r>
      <w:r>
        <w:t xml:space="preserve">, and </w:t>
      </w:r>
      <w:r>
        <w:rPr>
          <w:b/>
          <w:bCs/>
        </w:rPr>
        <w:t>Value = 365</w:t>
      </w:r>
      <w:r>
        <w:t xml:space="preserve">. Click on the </w:t>
      </w:r>
      <w:r>
        <w:rPr>
          <w:b/>
          <w:bCs/>
        </w:rPr>
        <w:t>Add Parameter</w:t>
      </w:r>
      <w:r>
        <w:t xml:space="preserve"> button to add this parameter.</w:t>
      </w:r>
    </w:p>
    <w:p w14:paraId="5D39545F" w14:textId="6DFD342E" w:rsidR="00551E6E" w:rsidRPr="00A41CFE" w:rsidRDefault="00551E6E" w:rsidP="00DB1D18">
      <w:pPr>
        <w:ind w:left="180" w:firstLine="0"/>
      </w:pPr>
      <w:r>
        <w:rPr>
          <w:noProof/>
        </w:rPr>
        <w:drawing>
          <wp:inline distT="0" distB="0" distL="0" distR="0" wp14:anchorId="25C7AF97" wp14:editId="77854EA0">
            <wp:extent cx="4657725" cy="3067050"/>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7725" cy="3067050"/>
                    </a:xfrm>
                    <a:prstGeom prst="rect">
                      <a:avLst/>
                    </a:prstGeom>
                    <a:ln>
                      <a:solidFill>
                        <a:schemeClr val="tx1"/>
                      </a:solidFill>
                    </a:ln>
                  </pic:spPr>
                </pic:pic>
              </a:graphicData>
            </a:graphic>
          </wp:inline>
        </w:drawing>
      </w:r>
    </w:p>
    <w:p w14:paraId="74F20600" w14:textId="41D0122E" w:rsidR="005075A7" w:rsidRDefault="005075A7" w:rsidP="00DB1D18">
      <w:pPr>
        <w:ind w:left="180" w:firstLine="0"/>
        <w:rPr>
          <w:b/>
          <w:bCs/>
          <w:color w:val="000000" w:themeColor="text1"/>
        </w:rPr>
      </w:pPr>
    </w:p>
    <w:p w14:paraId="66563A89" w14:textId="50783320" w:rsidR="00551E6E" w:rsidRDefault="00551E6E" w:rsidP="00DB1D18">
      <w:pPr>
        <w:ind w:left="180" w:firstLine="0"/>
        <w:rPr>
          <w:color w:val="000000" w:themeColor="text1"/>
        </w:rPr>
      </w:pPr>
      <w:r>
        <w:rPr>
          <w:color w:val="000000" w:themeColor="text1"/>
        </w:rPr>
        <w:lastRenderedPageBreak/>
        <w:t xml:space="preserve">The </w:t>
      </w:r>
      <w:r>
        <w:rPr>
          <w:i/>
          <w:iCs/>
          <w:color w:val="000000" w:themeColor="text1"/>
        </w:rPr>
        <w:t>Output Parameters</w:t>
      </w:r>
      <w:r>
        <w:rPr>
          <w:color w:val="000000" w:themeColor="text1"/>
        </w:rPr>
        <w:t xml:space="preserve"> for </w:t>
      </w:r>
      <w:r>
        <w:rPr>
          <w:b/>
          <w:bCs/>
          <w:color w:val="000000" w:themeColor="text1"/>
        </w:rPr>
        <w:t xml:space="preserve">Anonymize </w:t>
      </w:r>
      <w:r>
        <w:rPr>
          <w:color w:val="000000" w:themeColor="text1"/>
        </w:rPr>
        <w:t xml:space="preserve">should be set to </w:t>
      </w:r>
      <w:r>
        <w:rPr>
          <w:b/>
          <w:bCs/>
          <w:color w:val="000000" w:themeColor="text1"/>
        </w:rPr>
        <w:t>True</w:t>
      </w:r>
      <w:r>
        <w:rPr>
          <w:color w:val="000000" w:themeColor="text1"/>
        </w:rPr>
        <w:t>.</w:t>
      </w:r>
    </w:p>
    <w:p w14:paraId="6E6E8C91" w14:textId="3C070ED6" w:rsidR="00551E6E" w:rsidRDefault="00551E6E" w:rsidP="00DB1D18">
      <w:pPr>
        <w:ind w:left="180" w:firstLine="0"/>
        <w:rPr>
          <w:color w:val="000000" w:themeColor="text1"/>
        </w:rPr>
      </w:pPr>
      <w:r>
        <w:rPr>
          <w:noProof/>
        </w:rPr>
        <w:drawing>
          <wp:inline distT="0" distB="0" distL="0" distR="0" wp14:anchorId="797A89DA" wp14:editId="2ECDB1EB">
            <wp:extent cx="4714875" cy="7810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4875" cy="781050"/>
                    </a:xfrm>
                    <a:prstGeom prst="rect">
                      <a:avLst/>
                    </a:prstGeom>
                    <a:ln>
                      <a:solidFill>
                        <a:schemeClr val="tx1"/>
                      </a:solidFill>
                    </a:ln>
                  </pic:spPr>
                </pic:pic>
              </a:graphicData>
            </a:graphic>
          </wp:inline>
        </w:drawing>
      </w:r>
    </w:p>
    <w:p w14:paraId="75D0FF55" w14:textId="7F079163" w:rsidR="00717A07" w:rsidRDefault="00717A07" w:rsidP="00DB1D18">
      <w:pPr>
        <w:ind w:left="180" w:firstLine="0"/>
        <w:rPr>
          <w:color w:val="000000" w:themeColor="text1"/>
        </w:rPr>
      </w:pPr>
    </w:p>
    <w:p w14:paraId="60618856" w14:textId="2BB55A10" w:rsidR="00717A07" w:rsidRDefault="00717A07" w:rsidP="00DB1D18">
      <w:pPr>
        <w:ind w:left="180" w:firstLine="0"/>
        <w:rPr>
          <w:color w:val="000000" w:themeColor="text1"/>
        </w:rPr>
      </w:pPr>
      <w:r>
        <w:rPr>
          <w:color w:val="000000" w:themeColor="text1"/>
        </w:rPr>
        <w:t>In the end, the rule looks like this:</w:t>
      </w:r>
    </w:p>
    <w:p w14:paraId="50046324" w14:textId="674CF253" w:rsidR="00717A07" w:rsidRDefault="00717A07" w:rsidP="00DB1D18">
      <w:pPr>
        <w:ind w:left="180" w:firstLine="0"/>
        <w:rPr>
          <w:color w:val="000000" w:themeColor="text1"/>
        </w:rPr>
      </w:pPr>
      <w:r>
        <w:rPr>
          <w:noProof/>
        </w:rPr>
        <w:drawing>
          <wp:inline distT="0" distB="0" distL="0" distR="0" wp14:anchorId="5917534E" wp14:editId="1C7CE91C">
            <wp:extent cx="6858000" cy="3314065"/>
            <wp:effectExtent l="19050" t="19050" r="1905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3314065"/>
                    </a:xfrm>
                    <a:prstGeom prst="rect">
                      <a:avLst/>
                    </a:prstGeom>
                    <a:ln>
                      <a:solidFill>
                        <a:schemeClr val="tx1"/>
                      </a:solidFill>
                    </a:ln>
                  </pic:spPr>
                </pic:pic>
              </a:graphicData>
            </a:graphic>
          </wp:inline>
        </w:drawing>
      </w:r>
    </w:p>
    <w:p w14:paraId="0DF9442E" w14:textId="3328AAC5" w:rsidR="00717A07" w:rsidRDefault="00717A07" w:rsidP="00DB1D18">
      <w:pPr>
        <w:ind w:left="180" w:firstLine="0"/>
        <w:rPr>
          <w:color w:val="000000" w:themeColor="text1"/>
        </w:rPr>
      </w:pPr>
    </w:p>
    <w:p w14:paraId="3A2C12F2" w14:textId="2BF343BC" w:rsidR="00717A07" w:rsidRDefault="00717A07" w:rsidP="00DB1D18">
      <w:pPr>
        <w:ind w:left="180" w:firstLine="0"/>
        <w:rPr>
          <w:color w:val="000000" w:themeColor="text1"/>
        </w:rPr>
      </w:pPr>
      <w:r>
        <w:rPr>
          <w:color w:val="000000" w:themeColor="text1"/>
        </w:rPr>
        <w:t>If desirable, you may a</w:t>
      </w:r>
      <w:r>
        <w:rPr>
          <w:color w:val="000000" w:themeColor="text1"/>
        </w:rPr>
        <w:t>dd other parameters as appropriate.</w:t>
      </w:r>
    </w:p>
    <w:p w14:paraId="2E7A40AA" w14:textId="77777777" w:rsidR="00F72B70" w:rsidRDefault="00F72B70" w:rsidP="00DB1D18">
      <w:pPr>
        <w:ind w:left="180" w:firstLine="0"/>
        <w:rPr>
          <w:color w:val="000000" w:themeColor="text1"/>
        </w:rPr>
      </w:pPr>
    </w:p>
    <w:p w14:paraId="2A4534CB" w14:textId="77777777" w:rsidR="00717A07" w:rsidRPr="00551E6E" w:rsidRDefault="00717A07" w:rsidP="00DB1D18">
      <w:pPr>
        <w:ind w:left="180" w:firstLine="0"/>
        <w:rPr>
          <w:color w:val="000000" w:themeColor="text1"/>
        </w:rPr>
      </w:pPr>
    </w:p>
    <w:p w14:paraId="2BDF595E" w14:textId="52CBF139" w:rsidR="00DB1D18" w:rsidRPr="00C51DC4" w:rsidRDefault="00DB1D18" w:rsidP="00DB1D18">
      <w:pPr>
        <w:ind w:left="180" w:firstLine="0"/>
        <w:rPr>
          <w:b/>
          <w:bCs/>
        </w:rPr>
      </w:pPr>
      <w:bookmarkStart w:id="0" w:name="_GoBack"/>
      <w:r w:rsidRPr="00C51DC4">
        <w:rPr>
          <w:b/>
          <w:bCs/>
        </w:rPr>
        <w:t>Would these be batched or an individual email per item?</w:t>
      </w:r>
    </w:p>
    <w:bookmarkEnd w:id="0"/>
    <w:p w14:paraId="47C97CBA" w14:textId="79688426" w:rsidR="004A3B38" w:rsidRDefault="004A3B38" w:rsidP="00DB1D18">
      <w:pPr>
        <w:ind w:left="180" w:firstLine="0"/>
      </w:pPr>
    </w:p>
    <w:p w14:paraId="39A2A436" w14:textId="2DCCFC2E" w:rsidR="004476A9" w:rsidRPr="004476A9" w:rsidRDefault="0069787D" w:rsidP="00DB1D18">
      <w:pPr>
        <w:ind w:left="180" w:firstLine="0"/>
      </w:pPr>
      <w:r>
        <w:t>Letters sent in relation to t</w:t>
      </w:r>
      <w:r w:rsidR="004476A9">
        <w:t xml:space="preserve">he </w:t>
      </w:r>
      <w:r w:rsidR="004476A9">
        <w:rPr>
          <w:i/>
          <w:iCs/>
        </w:rPr>
        <w:t>Overdue and Lost Loan Profile</w:t>
      </w:r>
      <w:r w:rsidR="004476A9">
        <w:t xml:space="preserve"> will </w:t>
      </w:r>
      <w:r>
        <w:t xml:space="preserve">include all items that meet the criteria. </w:t>
      </w:r>
      <w:r w:rsidR="00F72B70">
        <w:t>This means that a</w:t>
      </w:r>
      <w:r>
        <w:t xml:space="preserve"> patron </w:t>
      </w:r>
      <w:r w:rsidR="00F72B70">
        <w:t xml:space="preserve">who </w:t>
      </w:r>
      <w:r>
        <w:t xml:space="preserve">has </w:t>
      </w:r>
      <w:r w:rsidR="00F72B70">
        <w:t>five</w:t>
      </w:r>
      <w:r>
        <w:t xml:space="preserve"> items on loan </w:t>
      </w:r>
      <w:r w:rsidR="00F72B70">
        <w:t xml:space="preserve">with </w:t>
      </w:r>
      <w:r>
        <w:t xml:space="preserve">three </w:t>
      </w:r>
      <w:r w:rsidR="00F72B70">
        <w:t xml:space="preserve">of them that </w:t>
      </w:r>
      <w:r>
        <w:t xml:space="preserve">are 30 days overdue, the patron would receive a single letter that includes details for the three items via </w:t>
      </w:r>
      <w:r w:rsidRPr="0069787D">
        <w:rPr>
          <w:b/>
          <w:bCs/>
          <w:i/>
          <w:iCs/>
        </w:rPr>
        <w:t>Overdue notification type 1</w:t>
      </w:r>
      <w:r>
        <w:t>.</w:t>
      </w:r>
    </w:p>
    <w:sectPr w:rsidR="004476A9" w:rsidRPr="004476A9" w:rsidSect="001031F7">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9F6D9" w14:textId="77777777" w:rsidR="005B7A2F" w:rsidRDefault="005B7A2F" w:rsidP="00353723">
      <w:r>
        <w:separator/>
      </w:r>
    </w:p>
  </w:endnote>
  <w:endnote w:type="continuationSeparator" w:id="0">
    <w:p w14:paraId="68CF80C6" w14:textId="77777777" w:rsidR="005B7A2F" w:rsidRDefault="005B7A2F" w:rsidP="0035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A758" w14:textId="77777777" w:rsidR="005B7A2F" w:rsidRDefault="005B7A2F" w:rsidP="00353723">
      <w:r>
        <w:separator/>
      </w:r>
    </w:p>
  </w:footnote>
  <w:footnote w:type="continuationSeparator" w:id="0">
    <w:p w14:paraId="73E23DF9" w14:textId="77777777" w:rsidR="005B7A2F" w:rsidRDefault="005B7A2F" w:rsidP="0035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0161" w14:textId="45621A56" w:rsidR="00353723" w:rsidRDefault="00353723" w:rsidP="00356A94">
    <w:pPr>
      <w:pStyle w:val="Header"/>
      <w:jc w:val="center"/>
      <w:rPr>
        <w:rFonts w:ascii="Roboto" w:hAnsi="Roboto"/>
        <w:b/>
        <w:bCs/>
        <w:sz w:val="52"/>
        <w:szCs w:val="52"/>
      </w:rPr>
    </w:pPr>
    <w:r>
      <w:rPr>
        <w:noProof/>
      </w:rPr>
      <w:drawing>
        <wp:anchor distT="0" distB="0" distL="114300" distR="114300" simplePos="0" relativeHeight="251659264" behindDoc="1" locked="0" layoutInCell="1" allowOverlap="1" wp14:anchorId="14A1F213" wp14:editId="39A317C3">
          <wp:simplePos x="0" y="0"/>
          <wp:positionH relativeFrom="column">
            <wp:posOffset>-219075</wp:posOffset>
          </wp:positionH>
          <wp:positionV relativeFrom="paragraph">
            <wp:posOffset>-330835</wp:posOffset>
          </wp:positionV>
          <wp:extent cx="1856105" cy="772795"/>
          <wp:effectExtent l="0" t="0" r="0" b="8255"/>
          <wp:wrapTight wrapText="bothSides">
            <wp:wrapPolygon edited="0">
              <wp:start x="11750" y="0"/>
              <wp:lineTo x="0" y="5325"/>
              <wp:lineTo x="0" y="17039"/>
              <wp:lineTo x="7316" y="18636"/>
              <wp:lineTo x="7316" y="21298"/>
              <wp:lineTo x="11085" y="21298"/>
              <wp:lineTo x="20839" y="21298"/>
              <wp:lineTo x="21282" y="17039"/>
              <wp:lineTo x="21282" y="14376"/>
              <wp:lineTo x="21061" y="8519"/>
              <wp:lineTo x="16627" y="1065"/>
              <wp:lineTo x="15740" y="0"/>
              <wp:lineTo x="1175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libris_ProQuest 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856105" cy="772795"/>
                  </a:xfrm>
                  <a:prstGeom prst="rect">
                    <a:avLst/>
                  </a:prstGeom>
                </pic:spPr>
              </pic:pic>
            </a:graphicData>
          </a:graphic>
          <wp14:sizeRelH relativeFrom="margin">
            <wp14:pctWidth>0</wp14:pctWidth>
          </wp14:sizeRelH>
          <wp14:sizeRelV relativeFrom="margin">
            <wp14:pctHeight>0</wp14:pctHeight>
          </wp14:sizeRelV>
        </wp:anchor>
      </w:drawing>
    </w:r>
    <w:r w:rsidR="00356A94">
      <w:rPr>
        <w:rFonts w:ascii="Roboto" w:hAnsi="Roboto"/>
        <w:b/>
        <w:bCs/>
        <w:sz w:val="52"/>
        <w:szCs w:val="52"/>
      </w:rPr>
      <w:t>Knowledge Acceleration Program</w:t>
    </w:r>
  </w:p>
  <w:p w14:paraId="5E0D1642" w14:textId="77777777" w:rsidR="00B9099C" w:rsidRPr="00B9099C" w:rsidRDefault="00B9099C" w:rsidP="00B9099C">
    <w:pPr>
      <w:pStyle w:val="Header"/>
      <w:rPr>
        <w:rFonts w:ascii="Roboto" w:hAnsi="Roboto"/>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23"/>
    <w:rsid w:val="000044F0"/>
    <w:rsid w:val="00005645"/>
    <w:rsid w:val="00034216"/>
    <w:rsid w:val="00052DE3"/>
    <w:rsid w:val="00063453"/>
    <w:rsid w:val="00077AB9"/>
    <w:rsid w:val="000B646E"/>
    <w:rsid w:val="000E7394"/>
    <w:rsid w:val="001031F7"/>
    <w:rsid w:val="00141361"/>
    <w:rsid w:val="00151B6D"/>
    <w:rsid w:val="0015223C"/>
    <w:rsid w:val="001542F0"/>
    <w:rsid w:val="001A2559"/>
    <w:rsid w:val="001B2136"/>
    <w:rsid w:val="001D1E6F"/>
    <w:rsid w:val="001E176A"/>
    <w:rsid w:val="001F566D"/>
    <w:rsid w:val="00282EEB"/>
    <w:rsid w:val="002B34A2"/>
    <w:rsid w:val="002D39AF"/>
    <w:rsid w:val="002F6689"/>
    <w:rsid w:val="00306386"/>
    <w:rsid w:val="003338A6"/>
    <w:rsid w:val="00345C5B"/>
    <w:rsid w:val="00353723"/>
    <w:rsid w:val="00356A94"/>
    <w:rsid w:val="003664E0"/>
    <w:rsid w:val="00383C91"/>
    <w:rsid w:val="003E13A9"/>
    <w:rsid w:val="004476A9"/>
    <w:rsid w:val="00471E78"/>
    <w:rsid w:val="004A3B38"/>
    <w:rsid w:val="004B0AF6"/>
    <w:rsid w:val="004F2414"/>
    <w:rsid w:val="004F2B43"/>
    <w:rsid w:val="004F74CB"/>
    <w:rsid w:val="00505EEF"/>
    <w:rsid w:val="005075A7"/>
    <w:rsid w:val="005370DE"/>
    <w:rsid w:val="00551E6E"/>
    <w:rsid w:val="00555D74"/>
    <w:rsid w:val="005B38B5"/>
    <w:rsid w:val="005B7A2F"/>
    <w:rsid w:val="005C7039"/>
    <w:rsid w:val="005D00EB"/>
    <w:rsid w:val="005E2AB3"/>
    <w:rsid w:val="005F0349"/>
    <w:rsid w:val="005F7C07"/>
    <w:rsid w:val="0060455A"/>
    <w:rsid w:val="00604B96"/>
    <w:rsid w:val="0061698B"/>
    <w:rsid w:val="00622EFF"/>
    <w:rsid w:val="006307BC"/>
    <w:rsid w:val="006311D3"/>
    <w:rsid w:val="006405E9"/>
    <w:rsid w:val="0069787D"/>
    <w:rsid w:val="006B4E72"/>
    <w:rsid w:val="006B756E"/>
    <w:rsid w:val="006C342C"/>
    <w:rsid w:val="006E184C"/>
    <w:rsid w:val="006E193A"/>
    <w:rsid w:val="006F42E2"/>
    <w:rsid w:val="007132C5"/>
    <w:rsid w:val="0071643F"/>
    <w:rsid w:val="00717A07"/>
    <w:rsid w:val="00734DB8"/>
    <w:rsid w:val="007506F2"/>
    <w:rsid w:val="00780CE6"/>
    <w:rsid w:val="00783D72"/>
    <w:rsid w:val="00793C8B"/>
    <w:rsid w:val="008235EA"/>
    <w:rsid w:val="008A6BB0"/>
    <w:rsid w:val="008A7A3A"/>
    <w:rsid w:val="008E1CF9"/>
    <w:rsid w:val="0090674C"/>
    <w:rsid w:val="00914D81"/>
    <w:rsid w:val="00931122"/>
    <w:rsid w:val="00951B6A"/>
    <w:rsid w:val="00954A31"/>
    <w:rsid w:val="009833B2"/>
    <w:rsid w:val="00983869"/>
    <w:rsid w:val="009867DD"/>
    <w:rsid w:val="009E0A39"/>
    <w:rsid w:val="00A14FD6"/>
    <w:rsid w:val="00A1782A"/>
    <w:rsid w:val="00A364AD"/>
    <w:rsid w:val="00A41CFE"/>
    <w:rsid w:val="00A60E0D"/>
    <w:rsid w:val="00A667F5"/>
    <w:rsid w:val="00A66DF3"/>
    <w:rsid w:val="00A7212B"/>
    <w:rsid w:val="00A746A9"/>
    <w:rsid w:val="00A85B7E"/>
    <w:rsid w:val="00A87138"/>
    <w:rsid w:val="00AC647A"/>
    <w:rsid w:val="00AC690E"/>
    <w:rsid w:val="00B04C9C"/>
    <w:rsid w:val="00B108BC"/>
    <w:rsid w:val="00B119DD"/>
    <w:rsid w:val="00B13987"/>
    <w:rsid w:val="00B26D56"/>
    <w:rsid w:val="00B31CE5"/>
    <w:rsid w:val="00B40F4F"/>
    <w:rsid w:val="00B44070"/>
    <w:rsid w:val="00B468D3"/>
    <w:rsid w:val="00B61374"/>
    <w:rsid w:val="00B61BF5"/>
    <w:rsid w:val="00B853C4"/>
    <w:rsid w:val="00B9099C"/>
    <w:rsid w:val="00BB39E0"/>
    <w:rsid w:val="00BD55BB"/>
    <w:rsid w:val="00BE3054"/>
    <w:rsid w:val="00BE4CD8"/>
    <w:rsid w:val="00BF0CB5"/>
    <w:rsid w:val="00C17383"/>
    <w:rsid w:val="00C517EA"/>
    <w:rsid w:val="00C51DC4"/>
    <w:rsid w:val="00C60A5C"/>
    <w:rsid w:val="00C82337"/>
    <w:rsid w:val="00CB4951"/>
    <w:rsid w:val="00CB547A"/>
    <w:rsid w:val="00CB6FAF"/>
    <w:rsid w:val="00CF764B"/>
    <w:rsid w:val="00D32539"/>
    <w:rsid w:val="00D37EDC"/>
    <w:rsid w:val="00D67AE9"/>
    <w:rsid w:val="00DB17AB"/>
    <w:rsid w:val="00DB1D18"/>
    <w:rsid w:val="00DD709F"/>
    <w:rsid w:val="00E512F7"/>
    <w:rsid w:val="00E605AC"/>
    <w:rsid w:val="00EA572A"/>
    <w:rsid w:val="00EB7E42"/>
    <w:rsid w:val="00ED3556"/>
    <w:rsid w:val="00ED451A"/>
    <w:rsid w:val="00F23789"/>
    <w:rsid w:val="00F36E40"/>
    <w:rsid w:val="00F71A9A"/>
    <w:rsid w:val="00F72B70"/>
    <w:rsid w:val="00F91860"/>
    <w:rsid w:val="00F95257"/>
    <w:rsid w:val="00FE1070"/>
    <w:rsid w:val="00FE4F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1062"/>
  <w15:chartTrackingRefBased/>
  <w15:docId w15:val="{622FF9FD-3A92-4CDD-8ED9-30E395AA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ind w:left="317" w:hanging="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723"/>
    <w:pPr>
      <w:tabs>
        <w:tab w:val="center" w:pos="4680"/>
        <w:tab w:val="right" w:pos="9360"/>
      </w:tabs>
    </w:pPr>
  </w:style>
  <w:style w:type="character" w:customStyle="1" w:styleId="HeaderChar">
    <w:name w:val="Header Char"/>
    <w:basedOn w:val="DefaultParagraphFont"/>
    <w:link w:val="Header"/>
    <w:uiPriority w:val="99"/>
    <w:rsid w:val="00353723"/>
  </w:style>
  <w:style w:type="paragraph" w:styleId="Footer">
    <w:name w:val="footer"/>
    <w:basedOn w:val="Normal"/>
    <w:link w:val="FooterChar"/>
    <w:uiPriority w:val="99"/>
    <w:unhideWhenUsed/>
    <w:rsid w:val="00353723"/>
    <w:pPr>
      <w:tabs>
        <w:tab w:val="center" w:pos="4680"/>
        <w:tab w:val="right" w:pos="9360"/>
      </w:tabs>
    </w:pPr>
  </w:style>
  <w:style w:type="character" w:customStyle="1" w:styleId="FooterChar">
    <w:name w:val="Footer Char"/>
    <w:basedOn w:val="DefaultParagraphFont"/>
    <w:link w:val="Footer"/>
    <w:uiPriority w:val="99"/>
    <w:rsid w:val="00353723"/>
  </w:style>
  <w:style w:type="character" w:styleId="Hyperlink">
    <w:name w:val="Hyperlink"/>
    <w:basedOn w:val="DefaultParagraphFont"/>
    <w:uiPriority w:val="99"/>
    <w:unhideWhenUsed/>
    <w:rsid w:val="004F2414"/>
    <w:rPr>
      <w:color w:val="0563C1" w:themeColor="hyperlink"/>
      <w:u w:val="single"/>
    </w:rPr>
  </w:style>
  <w:style w:type="character" w:styleId="UnresolvedMention">
    <w:name w:val="Unresolved Mention"/>
    <w:basedOn w:val="DefaultParagraphFont"/>
    <w:uiPriority w:val="99"/>
    <w:semiHidden/>
    <w:unhideWhenUsed/>
    <w:rsid w:val="004F2414"/>
    <w:rPr>
      <w:color w:val="605E5C"/>
      <w:shd w:val="clear" w:color="auto" w:fill="E1DFDD"/>
    </w:rPr>
  </w:style>
  <w:style w:type="character" w:styleId="FollowedHyperlink">
    <w:name w:val="FollowedHyperlink"/>
    <w:basedOn w:val="DefaultParagraphFont"/>
    <w:uiPriority w:val="99"/>
    <w:semiHidden/>
    <w:unhideWhenUsed/>
    <w:rsid w:val="004B0AF6"/>
    <w:rPr>
      <w:color w:val="954F72" w:themeColor="followedHyperlink"/>
      <w:u w:val="single"/>
    </w:rPr>
  </w:style>
  <w:style w:type="character" w:customStyle="1" w:styleId="pagetitle">
    <w:name w:val="pagetitle"/>
    <w:basedOn w:val="DefaultParagraphFont"/>
    <w:rsid w:val="00C1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A6AB7023E9DE489BC4A3E25BB4DDF2" ma:contentTypeVersion="12" ma:contentTypeDescription="Create a new document." ma:contentTypeScope="" ma:versionID="0b2c9ead040280f4b00e97fe2e1850e0">
  <xsd:schema xmlns:xsd="http://www.w3.org/2001/XMLSchema" xmlns:xs="http://www.w3.org/2001/XMLSchema" xmlns:p="http://schemas.microsoft.com/office/2006/metadata/properties" xmlns:ns3="e3a056bd-1baa-48cb-a282-88952cc9241a" xmlns:ns4="f5aa60c2-60b5-4f2a-b115-6cf368be49d4" targetNamespace="http://schemas.microsoft.com/office/2006/metadata/properties" ma:root="true" ma:fieldsID="47057346c044d63ed20fff7c2e10beb1" ns3:_="" ns4:_="">
    <xsd:import namespace="e3a056bd-1baa-48cb-a282-88952cc9241a"/>
    <xsd:import namespace="f5aa60c2-60b5-4f2a-b115-6cf368be49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056bd-1baa-48cb-a282-88952cc92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a60c2-60b5-4f2a-b115-6cf368be49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39C9B-53A0-4BDB-8661-EADFCF854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3CA55-4704-4905-B2DA-88CB9A00A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056bd-1baa-48cb-a282-88952cc9241a"/>
    <ds:schemaRef ds:uri="f5aa60c2-60b5-4f2a-b115-6cf368be4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111AF-EAC8-4CEC-B122-D8B775729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Cheney</dc:creator>
  <cp:keywords/>
  <dc:description/>
  <cp:lastModifiedBy>Connie Braun</cp:lastModifiedBy>
  <cp:revision>16</cp:revision>
  <dcterms:created xsi:type="dcterms:W3CDTF">2020-08-06T18:50:00Z</dcterms:created>
  <dcterms:modified xsi:type="dcterms:W3CDTF">2020-08-07T14:48:00Z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0x01010081A6AB7023E9DE489BC4A3E25BB4DDF2</vt:lpwstr>
  </property>
</Properties>
</file>